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6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60" w:after="6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12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extBody"/>
        <w:bidi w:val="0"/>
        <w:spacing w:lineRule="auto" w:line="288" w:before="0" w:after="0"/>
        <w:jc w:val="center"/>
        <w:rPr/>
      </w:pPr>
      <w:r>
        <w:rPr>
          <w:rFonts w:ascii="Times New Roman;sans-serif" w:hAnsi="Times New Roman;sans-serif"/>
          <w:b/>
          <w:color w:val="000000"/>
          <w:sz w:val="32"/>
        </w:rPr>
        <w:t xml:space="preserve">FORM </w:t>
      </w:r>
      <w:r>
        <w:rPr>
          <w:rFonts w:ascii="Times New Roman;sans-serif" w:hAnsi="Times New Roman;sans-serif"/>
          <w:b/>
          <w:color w:val="000000"/>
          <w:sz w:val="36"/>
        </w:rPr>
        <w:t>10-Q</w:t>
      </w:r>
      <w:r>
        <w:rPr>
          <w:color w:val="000000"/>
        </w:rPr>
        <w:t xml:space="preserve"> </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tbl>
      <w:tblPr>
        <w:tblW w:w="9702" w:type="dxa"/>
        <w:jc w:val="center"/>
        <w:tblInd w:w="0" w:type="dxa"/>
        <w:tblLayout w:type="fixed"/>
        <w:tblCellMar>
          <w:top w:w="28" w:type="dxa"/>
          <w:left w:w="28" w:type="dxa"/>
          <w:bottom w:w="28" w:type="dxa"/>
          <w:right w:w="28" w:type="dxa"/>
        </w:tblCellMar>
      </w:tblPr>
      <w:tblGrid>
        <w:gridCol w:w="1680"/>
        <w:gridCol w:w="1482"/>
        <w:gridCol w:w="1482"/>
        <w:gridCol w:w="1482"/>
        <w:gridCol w:w="1482"/>
        <w:gridCol w:w="2094"/>
      </w:tblGrid>
      <w:tr>
        <w:trPr/>
        <w:tc>
          <w:tcPr>
            <w:tcW w:w="1680"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r>
      <w:tr>
        <w:trPr/>
        <w:tc>
          <w:tcPr>
            <w:tcW w:w="9702"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0"/>
              <w:jc w:val="left"/>
              <w:rPr>
                <w:rFonts w:ascii="Times New Roman;sans-serif" w:hAnsi="Times New Roman;sans-serif"/>
                <w:b/>
                <w:color w:val="000000"/>
                <w:sz w:val="18"/>
              </w:rPr>
            </w:pPr>
            <w:r>
              <w:rPr>
                <w:rFonts w:ascii="Times New Roman;sans-serif" w:hAnsi="Times New Roman;sans-serif"/>
                <w:b/>
                <w:color w:val="000000"/>
                <w:sz w:val="18"/>
              </w:rPr>
              <w:t>(Mark One)</w:t>
            </w:r>
          </w:p>
        </w:tc>
      </w:tr>
      <w:tr>
        <w:trPr/>
        <w:tc>
          <w:tcPr>
            <w:tcW w:w="9702" w:type="dxa"/>
            <w:gridSpan w:val="6"/>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r>
              <w:rPr>
                <w:color w:val="000000"/>
              </w:rPr>
              <w:t xml:space="preserve">☒ </w:t>
            </w:r>
            <w:r>
              <w:rPr>
                <w:rFonts w:ascii="Times New Roman;sans-serif" w:hAnsi="Times New Roman;sans-serif"/>
                <w:b/>
                <w:color w:val="000000"/>
                <w:sz w:val="18"/>
              </w:rPr>
              <w:t>QUARTERLY REPORT PURSUANT TO SECTION 13 OR 15(d) OF THE SECURITIES EXCHANGE ACT OF 1934</w:t>
            </w:r>
          </w:p>
        </w:tc>
      </w:tr>
      <w:tr>
        <w:trPr/>
        <w:tc>
          <w:tcPr>
            <w:tcW w:w="9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2024</w:t>
            </w:r>
          </w:p>
        </w:tc>
      </w:tr>
      <w:tr>
        <w:trPr/>
        <w:tc>
          <w:tcPr>
            <w:tcW w:w="970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OR</w:t>
            </w:r>
          </w:p>
        </w:tc>
      </w:tr>
      <w:tr>
        <w:trPr/>
        <w:tc>
          <w:tcPr>
            <w:tcW w:w="9702" w:type="dxa"/>
            <w:gridSpan w:val="6"/>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r>
              <w:rPr>
                <w:color w:val="000000"/>
              </w:rPr>
              <w:t xml:space="preserve">☐ </w:t>
            </w:r>
            <w:r>
              <w:rPr>
                <w:rFonts w:ascii="Times New Roman;sans-serif" w:hAnsi="Times New Roman;sans-serif"/>
                <w:b/>
                <w:color w:val="000000"/>
                <w:sz w:val="18"/>
              </w:rPr>
              <w:t>TRANSITION REPORT PURSUANT TO SECTION 13 OR 15(d) OF THE SECURITIES EXCHANGE ACT OF 1934</w:t>
            </w:r>
          </w:p>
        </w:tc>
      </w:tr>
      <w:tr>
        <w:trPr/>
        <w:tc>
          <w:tcPr>
            <w:tcW w:w="9702"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0"/>
              <w:jc w:val="center"/>
              <w:rPr>
                <w:rFonts w:ascii="Times New Roman;sans-serif" w:hAnsi="Times New Roman;sans-serif"/>
                <w:b/>
                <w:color w:val="000000"/>
                <w:sz w:val="18"/>
              </w:rPr>
            </w:pPr>
            <w:r>
              <w:rPr>
                <w:rFonts w:ascii="Times New Roman;sans-serif" w:hAnsi="Times New Roman;sans-serif"/>
                <w:b/>
                <w:color w:val="000000"/>
                <w:sz w:val="18"/>
              </w:rPr>
              <w:t>For transition period from               to</w:t>
            </w:r>
          </w:p>
        </w:tc>
      </w:tr>
      <w:tr>
        <w:trPr/>
        <w:tc>
          <w:tcPr>
            <w:tcW w:w="9702"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0"/>
              <w:jc w:val="center"/>
              <w:rPr>
                <w:rFonts w:ascii="Times New Roman;sans-serif" w:hAnsi="Times New Roman;sans-serif"/>
                <w:b/>
                <w:color w:val="000000"/>
                <w:sz w:val="18"/>
              </w:rPr>
            </w:pPr>
            <w:r>
              <w:rPr>
                <w:rFonts w:ascii="Times New Roman;sans-serif" w:hAnsi="Times New Roman;sans-serif"/>
                <w:b/>
                <w:color w:val="000000"/>
                <w:sz w:val="18"/>
              </w:rPr>
              <w:t>Commission File Number 001-36773</w:t>
            </w:r>
          </w:p>
        </w:tc>
      </w:tr>
    </w:tbl>
    <w:p>
      <w:pPr>
        <w:pStyle w:val="TextBody"/>
        <w:bidi w:val="0"/>
        <w:spacing w:lineRule="auto" w:line="288" w:before="12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extBody"/>
        <w:bidi w:val="0"/>
        <w:spacing w:lineRule="auto" w:line="288" w:before="120" w:after="60"/>
        <w:jc w:val="center"/>
        <w:rPr>
          <w:rFonts w:ascii="Times New Roman;sans-serif" w:hAnsi="Times New Roman;sans-serif"/>
          <w:b/>
          <w:color w:val="000000"/>
          <w:sz w:val="36"/>
        </w:rPr>
      </w:pPr>
      <w:r>
        <w:rPr>
          <w:rFonts w:ascii="Times New Roman;sans-serif" w:hAnsi="Times New Roman;sans-serif"/>
          <w:b/>
          <w:color w:val="000000"/>
          <w:sz w:val="36"/>
        </w:rPr>
        <w:t xml:space="preserve">WORKIVA INC.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tbl>
      <w:tblPr>
        <w:tblW w:w="7676" w:type="dxa"/>
        <w:jc w:val="center"/>
        <w:tblInd w:w="0" w:type="dxa"/>
        <w:tblLayout w:type="fixed"/>
        <w:tblCellMar>
          <w:top w:w="28" w:type="dxa"/>
          <w:left w:w="28" w:type="dxa"/>
          <w:bottom w:w="28" w:type="dxa"/>
          <w:right w:w="28" w:type="dxa"/>
        </w:tblCellMar>
      </w:tblPr>
      <w:tblGrid>
        <w:gridCol w:w="798"/>
        <w:gridCol w:w="701"/>
        <w:gridCol w:w="701"/>
        <w:gridCol w:w="701"/>
        <w:gridCol w:w="701"/>
        <w:gridCol w:w="717"/>
        <w:gridCol w:w="109"/>
        <w:gridCol w:w="109"/>
        <w:gridCol w:w="109"/>
        <w:gridCol w:w="886"/>
        <w:gridCol w:w="886"/>
        <w:gridCol w:w="1258"/>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47-2509828</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Number)</w:t>
            </w:r>
          </w:p>
        </w:tc>
      </w:tr>
      <w:tr>
        <w:trPr/>
        <w:tc>
          <w:tcPr>
            <w:tcW w:w="767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2900 University Blvd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Ames, IA 50010</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(888) 275-3125</w:t>
            </w:r>
          </w:p>
        </w:tc>
      </w:tr>
      <w:tr>
        <w:trPr/>
        <w:tc>
          <w:tcPr>
            <w:tcW w:w="767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 and zip code)</w:t>
            </w:r>
          </w:p>
        </w:tc>
      </w:tr>
      <w:tr>
        <w:trPr/>
        <w:tc>
          <w:tcPr>
            <w:tcW w:w="767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(888) 275-3125</w:t>
            </w:r>
          </w:p>
        </w:tc>
      </w:tr>
      <w:tr>
        <w:trPr/>
        <w:tc>
          <w:tcPr>
            <w:tcW w:w="767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(Registrant's telephone number, including area code)</w:t>
            </w:r>
          </w:p>
        </w:tc>
      </w:tr>
      <w:tr>
        <w:trPr/>
        <w:tc>
          <w:tcPr>
            <w:tcW w:w="767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ableContents"/>
              <w:bidi w:val="0"/>
              <w:spacing w:before="0" w:after="0"/>
              <w:jc w:val="center"/>
              <w:rPr/>
            </w:pPr>
            <w:r>
              <w:rPr/>
            </w:r>
          </w:p>
        </w:tc>
      </w:tr>
    </w:tbl>
    <w:tbl>
      <w:tblPr>
        <w:tblW w:w="8045" w:type="dxa"/>
        <w:jc w:val="left"/>
        <w:tblInd w:w="0" w:type="dxa"/>
        <w:tblLayout w:type="fixed"/>
        <w:tblCellMar>
          <w:top w:w="28" w:type="dxa"/>
          <w:left w:w="28" w:type="dxa"/>
          <w:bottom w:w="28" w:type="dxa"/>
          <w:right w:w="28" w:type="dxa"/>
        </w:tblCellMar>
      </w:tblPr>
      <w:tblGrid>
        <w:gridCol w:w="1137"/>
        <w:gridCol w:w="999"/>
        <w:gridCol w:w="999"/>
        <w:gridCol w:w="477"/>
        <w:gridCol w:w="477"/>
        <w:gridCol w:w="477"/>
        <w:gridCol w:w="1019"/>
        <w:gridCol w:w="1019"/>
        <w:gridCol w:w="1441"/>
      </w:tblGrid>
      <w:tr>
        <w:trPr/>
        <w:tc>
          <w:tcPr>
            <w:tcW w:w="1137"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8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each exchange on which registered</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 common stock, par value $.001</w:t>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WK</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New York Stock Exchange</w:t>
            </w:r>
          </w:p>
        </w:tc>
      </w:tr>
    </w:tbl>
    <w:p>
      <w:pPr>
        <w:pStyle w:val="TextBody"/>
        <w:bidi w:val="0"/>
        <w:spacing w:lineRule="auto" w:line="288" w:before="120" w:after="60"/>
        <w:ind w:left="0" w:right="0" w:firstLine="720"/>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o</w:t>
      </w:r>
    </w:p>
    <w:p>
      <w:pPr>
        <w:pStyle w:val="TextBody"/>
        <w:bidi w:val="0"/>
        <w:spacing w:lineRule="auto" w:line="276" w:before="120" w:after="120"/>
        <w:ind w:left="0" w:right="0" w:firstLine="720"/>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o</w:t>
      </w:r>
    </w:p>
    <w:p>
      <w:pPr>
        <w:pStyle w:val="TextBody"/>
        <w:bidi w:val="0"/>
        <w:spacing w:lineRule="auto" w:line="276" w:before="120" w:after="6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364" w:type="dxa"/>
        <w:jc w:val="left"/>
        <w:tblInd w:w="0" w:type="dxa"/>
        <w:tblLayout w:type="fixed"/>
        <w:tblCellMar>
          <w:top w:w="28" w:type="dxa"/>
          <w:left w:w="28" w:type="dxa"/>
          <w:bottom w:w="28" w:type="dxa"/>
          <w:right w:w="28" w:type="dxa"/>
        </w:tblCellMar>
      </w:tblPr>
      <w:tblGrid>
        <w:gridCol w:w="750"/>
        <w:gridCol w:w="660"/>
        <w:gridCol w:w="660"/>
        <w:gridCol w:w="670"/>
        <w:gridCol w:w="670"/>
        <w:gridCol w:w="954"/>
      </w:tblGrid>
      <w:tr>
        <w:trPr/>
        <w:tc>
          <w:tcPr>
            <w:tcW w:w="75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r>
              <w:rPr>
                <w:rFonts w:ascii="Times New Roman;sans-serif" w:hAnsi="Times New Roman;sans-serif"/>
                <w:b w:val="false"/>
                <w:color w:val="000000"/>
                <w:sz w:val="18"/>
              </w:rPr>
              <w:t>Large accelerated filer    </w:t>
            </w:r>
            <w:r>
              <w:rPr>
                <w:color w:val="000000"/>
              </w:rPr>
              <w:t>☒</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18"/>
              </w:rPr>
              <w:t xml:space="preserve">Accelerated filer </w:t>
            </w:r>
            <w:r>
              <w:rPr>
                <w:rFonts w:ascii="Wingdings;sans-serif" w:hAnsi="Wingdings;sans-serif"/>
                <w:b w:val="false"/>
                <w:color w:val="000000"/>
                <w:sz w:val="20"/>
              </w:rPr>
              <w:t>o</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Non-accelerated filer</w:t>
            </w:r>
            <w:r>
              <w:rPr>
                <w:color w:val="000000"/>
              </w:rPr>
              <w:t>    </w:t>
            </w:r>
            <w:r>
              <w:rPr>
                <w:rFonts w:ascii="Wingdings;sans-serif" w:hAnsi="Wingdings;sans-serif"/>
                <w:b w:val="false"/>
                <w:color w:val="000000"/>
                <w:sz w:val="20"/>
              </w:rPr>
              <w:t>o</w:t>
            </w:r>
            <w:r>
              <w:rPr>
                <w:color w:val="000000"/>
              </w:rPr>
              <w:t xml:space="preserve">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 ☐</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Emerging growth company ☐</w:t>
            </w:r>
          </w:p>
        </w:tc>
      </w:tr>
    </w:tbl>
    <w:p>
      <w:pPr>
        <w:pStyle w:val="TextBody"/>
        <w:bidi w:val="0"/>
        <w:spacing w:lineRule="auto" w:line="288" w:before="120" w:after="12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720"/>
        <w:jc w:val="left"/>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120" w:after="12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As of July 26, 2024, there were approximately 51,394,455 shares of the registrant's Class A common stock and 3,845,583 shares of the registrant's Class B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WORKIVA INC.</w:t>
      </w:r>
    </w:p>
    <w:p>
      <w:pPr>
        <w:pStyle w:val="TextBody"/>
        <w:bidi w:val="0"/>
        <w:spacing w:lineRule="auto" w:line="288" w:before="120" w:after="240"/>
        <w:jc w:val="center"/>
        <w:rPr>
          <w:rFonts w:ascii="Times New Roman;sans-serif" w:hAnsi="Times New Roman;sans-serif"/>
          <w:b/>
          <w:color w:val="000000"/>
          <w:sz w:val="24"/>
        </w:rPr>
      </w:pPr>
      <w:r>
        <w:rPr>
          <w:rFonts w:ascii="Times New Roman;sans-serif" w:hAnsi="Times New Roman;sans-serif"/>
          <w:b/>
          <w:color w:val="000000"/>
          <w:sz w:val="24"/>
        </w:rPr>
        <w:t>TABLE OF CONTENTS</w:t>
      </w:r>
    </w:p>
    <w:tbl>
      <w:tblPr>
        <w:tblW w:w="10205" w:type="dxa"/>
        <w:jc w:val="center"/>
        <w:tblInd w:w="0" w:type="dxa"/>
        <w:tblLayout w:type="fixed"/>
        <w:tblCellMar>
          <w:top w:w="28" w:type="dxa"/>
          <w:left w:w="28" w:type="dxa"/>
          <w:bottom w:w="28" w:type="dxa"/>
          <w:right w:w="28" w:type="dxa"/>
        </w:tblCellMar>
      </w:tblPr>
      <w:tblGrid>
        <w:gridCol w:w="265"/>
        <w:gridCol w:w="233"/>
        <w:gridCol w:w="234"/>
        <w:gridCol w:w="109"/>
        <w:gridCol w:w="109"/>
        <w:gridCol w:w="109"/>
        <w:gridCol w:w="2893"/>
        <w:gridCol w:w="2837"/>
        <w:gridCol w:w="2842"/>
        <w:gridCol w:w="167"/>
        <w:gridCol w:w="167"/>
        <w:gridCol w:w="240"/>
      </w:tblGrid>
      <w:tr>
        <w:trPr/>
        <w:tc>
          <w:tcPr>
            <w:tcW w:w="2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284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b090fa01bc245b1abb3c989299e9615_13">
              <w:r>
                <w:rPr>
                  <w:rStyle w:val="InternetLink"/>
                  <w:rFonts w:ascii="Times New Roman;sans-serif" w:hAnsi="Times New Roman;sans-serif"/>
                  <w:b/>
                  <w:color w:val="0000FF"/>
                  <w:sz w:val="20"/>
                  <w:u w:val="single"/>
                </w:rPr>
                <w:t>Part I. Financial Information</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090fa01bc245b1abb3c989299e9615_16">
              <w:r>
                <w:rPr>
                  <w:rStyle w:val="InternetLink"/>
                  <w:rFonts w:ascii="Times New Roman;sans-serif" w:hAnsi="Times New Roman;sans-serif"/>
                  <w:b w:val="false"/>
                  <w:color w:val="0000FF"/>
                  <w:sz w:val="20"/>
                  <w:u w:val="single"/>
                </w:rPr>
                <w:t>Item 1</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090fa01bc245b1abb3c989299e9615_16">
              <w:r>
                <w:rPr>
                  <w:rStyle w:val="InternetLink"/>
                  <w:rFonts w:ascii="Times New Roman;sans-serif" w:hAnsi="Times New Roman;sans-serif"/>
                  <w:b w:val="false"/>
                  <w:color w:val="0000FF"/>
                  <w:sz w:val="20"/>
                  <w:u w:val="single"/>
                </w:rPr>
                <w:t>Unaudited Consolidated Financial Statements: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090fa01bc245b1abb3c989299e9615_16">
              <w:r>
                <w:rPr>
                  <w:rStyle w:val="InternetLink"/>
                  <w:rFonts w:ascii="Times New Roman;sans-serif" w:hAnsi="Times New Roman;sans-serif"/>
                  <w:b w:val="false"/>
                  <w:color w:val="0000FF"/>
                  <w:sz w:val="20"/>
                  <w:u w:val="single"/>
                </w:rPr>
                <w:t>1</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090fa01bc245b1abb3c989299e9615_19">
              <w:r>
                <w:rPr>
                  <w:rStyle w:val="InternetLink"/>
                  <w:rFonts w:ascii="Times New Roman;sans-serif" w:hAnsi="Times New Roman;sans-serif"/>
                  <w:b w:val="false"/>
                  <w:color w:val="000080"/>
                  <w:sz w:val="20"/>
                  <w:u w:val="single"/>
                </w:rPr>
                <w:t xml:space="preserve">Condensed Consolidated Balance Sheets as of </w:t>
              </w:r>
            </w:hyperlink>
            <w:hyperlink w:anchor="i9b090fa01bc245b1abb3c989299e9615_19">
              <w:r>
                <w:rPr>
                  <w:rStyle w:val="InternetLink"/>
                  <w:rFonts w:ascii="Times New Roman;sans-serif" w:hAnsi="Times New Roman;sans-serif"/>
                  <w:b w:val="false"/>
                  <w:color w:val="000080"/>
                  <w:sz w:val="20"/>
                  <w:u w:val="single"/>
                </w:rPr>
                <w:t>June 30, 2024</w:t>
              </w:r>
            </w:hyperlink>
            <w:hyperlink w:anchor="i9b090fa01bc245b1abb3c989299e9615_19">
              <w:r>
                <w:rPr>
                  <w:rStyle w:val="InternetLink"/>
                  <w:rFonts w:ascii="Times New Roman;sans-serif" w:hAnsi="Times New Roman;sans-serif"/>
                  <w:b w:val="false"/>
                  <w:color w:val="000080"/>
                  <w:sz w:val="20"/>
                  <w:u w:val="single"/>
                </w:rPr>
                <w:t xml:space="preserve"> and </w:t>
              </w:r>
            </w:hyperlink>
            <w:hyperlink w:anchor="i9b090fa01bc245b1abb3c989299e9615_19">
              <w:r>
                <w:rPr>
                  <w:rStyle w:val="InternetLink"/>
                  <w:rFonts w:ascii="Times New Roman;sans-serif" w:hAnsi="Times New Roman;sans-serif"/>
                  <w:b w:val="false"/>
                  <w:color w:val="000080"/>
                  <w:sz w:val="20"/>
                  <w:u w:val="single"/>
                </w:rPr>
                <w:t>December 31, 2023</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090fa01bc245b1abb3c989299e9615_19">
              <w:r>
                <w:rPr>
                  <w:rStyle w:val="InternetLink"/>
                  <w:rFonts w:ascii="Times New Roman;sans-serif" w:hAnsi="Times New Roman;sans-serif"/>
                  <w:b w:val="false"/>
                  <w:color w:val="0000FF"/>
                  <w:sz w:val="20"/>
                  <w:u w:val="single"/>
                </w:rPr>
                <w:t>1</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090fa01bc245b1abb3c989299e9615_22">
              <w:r>
                <w:rPr>
                  <w:rStyle w:val="InternetLink"/>
                  <w:rFonts w:ascii="Times New Roman;sans-serif" w:hAnsi="Times New Roman;sans-serif"/>
                  <w:b w:val="false"/>
                  <w:color w:val="000080"/>
                  <w:sz w:val="20"/>
                  <w:u w:val="single"/>
                </w:rPr>
                <w:t xml:space="preserve">Condensed Consolidated Statements of Operations for the </w:t>
              </w:r>
            </w:hyperlink>
            <w:hyperlink w:anchor="i9b090fa01bc245b1abb3c989299e9615_22">
              <w:r>
                <w:rPr>
                  <w:rStyle w:val="InternetLink"/>
                  <w:rFonts w:ascii="Times New Roman;sans-serif" w:hAnsi="Times New Roman;sans-serif"/>
                  <w:b w:val="false"/>
                  <w:color w:val="000080"/>
                  <w:sz w:val="20"/>
                  <w:u w:val="single"/>
                </w:rPr>
                <w:t>Three and Six</w:t>
              </w:r>
            </w:hyperlink>
            <w:hyperlink w:anchor="i9b090fa01bc245b1abb3c989299e9615_22">
              <w:r>
                <w:rPr>
                  <w:rStyle w:val="InternetLink"/>
                  <w:rFonts w:ascii="Times New Roman;sans-serif" w:hAnsi="Times New Roman;sans-serif"/>
                  <w:b w:val="false"/>
                  <w:color w:val="000080"/>
                  <w:sz w:val="20"/>
                  <w:u w:val="single"/>
                </w:rPr>
                <w:t xml:space="preserve"> Months Ended </w:t>
              </w:r>
            </w:hyperlink>
            <w:hyperlink w:anchor="i9b090fa01bc245b1abb3c989299e9615_22">
              <w:r>
                <w:rPr>
                  <w:rStyle w:val="InternetLink"/>
                  <w:rFonts w:ascii="Times New Roman;sans-serif" w:hAnsi="Times New Roman;sans-serif"/>
                  <w:b w:val="false"/>
                  <w:color w:val="000080"/>
                  <w:sz w:val="20"/>
                  <w:u w:val="single"/>
                </w:rPr>
                <w:t>June 30, 2024</w:t>
              </w:r>
            </w:hyperlink>
            <w:hyperlink w:anchor="i9b090fa01bc245b1abb3c989299e9615_22">
              <w:r>
                <w:rPr>
                  <w:rStyle w:val="InternetLink"/>
                  <w:rFonts w:ascii="Times New Roman;sans-serif" w:hAnsi="Times New Roman;sans-serif"/>
                  <w:b w:val="false"/>
                  <w:color w:val="000080"/>
                  <w:sz w:val="20"/>
                  <w:u w:val="single"/>
                </w:rPr>
                <w:t xml:space="preserve"> and </w:t>
              </w:r>
            </w:hyperlink>
            <w:hyperlink w:anchor="i9b090fa01bc245b1abb3c989299e9615_22">
              <w:r>
                <w:rPr>
                  <w:rStyle w:val="InternetLink"/>
                  <w:rFonts w:ascii="Times New Roman;sans-serif" w:hAnsi="Times New Roman;sans-serif"/>
                  <w:b w:val="false"/>
                  <w:color w:val="000080"/>
                  <w:sz w:val="20"/>
                  <w:u w:val="single"/>
                </w:rPr>
                <w:t>2023</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090fa01bc245b1abb3c989299e9615_22">
              <w:r>
                <w:rPr>
                  <w:rStyle w:val="InternetLink"/>
                  <w:rFonts w:ascii="Times New Roman;sans-serif" w:hAnsi="Times New Roman;sans-serif"/>
                  <w:b w:val="false"/>
                  <w:color w:val="0000FF"/>
                  <w:sz w:val="20"/>
                  <w:u w:val="single"/>
                </w:rPr>
                <w:t>3</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090fa01bc245b1abb3c989299e9615_25">
              <w:r>
                <w:rPr>
                  <w:rStyle w:val="InternetLink"/>
                  <w:rFonts w:ascii="Times New Roman;sans-serif" w:hAnsi="Times New Roman;sans-serif"/>
                  <w:b w:val="false"/>
                  <w:color w:val="000080"/>
                  <w:sz w:val="20"/>
                  <w:u w:val="single"/>
                </w:rPr>
                <w:t xml:space="preserve">Condensed Consolidated Statements of Comprehensive Loss for the </w:t>
              </w:r>
            </w:hyperlink>
            <w:hyperlink w:anchor="i9b090fa01bc245b1abb3c989299e9615_25">
              <w:r>
                <w:rPr>
                  <w:rStyle w:val="InternetLink"/>
                  <w:rFonts w:ascii="Times New Roman;sans-serif" w:hAnsi="Times New Roman;sans-serif"/>
                  <w:b w:val="false"/>
                  <w:color w:val="000080"/>
                  <w:sz w:val="20"/>
                  <w:u w:val="single"/>
                </w:rPr>
                <w:t>Three and Six</w:t>
              </w:r>
            </w:hyperlink>
            <w:hyperlink w:anchor="i9b090fa01bc245b1abb3c989299e9615_25">
              <w:r>
                <w:rPr>
                  <w:rStyle w:val="InternetLink"/>
                  <w:rFonts w:ascii="Times New Roman;sans-serif" w:hAnsi="Times New Roman;sans-serif"/>
                  <w:b w:val="false"/>
                  <w:color w:val="000080"/>
                  <w:sz w:val="20"/>
                  <w:u w:val="single"/>
                </w:rPr>
                <w:t xml:space="preserve"> Months Ended </w:t>
              </w:r>
            </w:hyperlink>
            <w:hyperlink w:anchor="i9b090fa01bc245b1abb3c989299e9615_25">
              <w:r>
                <w:rPr>
                  <w:rStyle w:val="InternetLink"/>
                  <w:rFonts w:ascii="Times New Roman;sans-serif" w:hAnsi="Times New Roman;sans-serif"/>
                  <w:b w:val="false"/>
                  <w:color w:val="000080"/>
                  <w:sz w:val="20"/>
                  <w:u w:val="single"/>
                </w:rPr>
                <w:t>June 30, 2024</w:t>
              </w:r>
            </w:hyperlink>
            <w:hyperlink w:anchor="i9b090fa01bc245b1abb3c989299e9615_25">
              <w:r>
                <w:rPr>
                  <w:rStyle w:val="InternetLink"/>
                  <w:rFonts w:ascii="Times New Roman;sans-serif" w:hAnsi="Times New Roman;sans-serif"/>
                  <w:b w:val="false"/>
                  <w:color w:val="000080"/>
                  <w:sz w:val="20"/>
                  <w:u w:val="single"/>
                </w:rPr>
                <w:t xml:space="preserve"> and </w:t>
              </w:r>
            </w:hyperlink>
            <w:hyperlink w:anchor="i9b090fa01bc245b1abb3c989299e9615_25">
              <w:r>
                <w:rPr>
                  <w:rStyle w:val="InternetLink"/>
                  <w:rFonts w:ascii="Times New Roman;sans-serif" w:hAnsi="Times New Roman;sans-serif"/>
                  <w:b w:val="false"/>
                  <w:color w:val="000080"/>
                  <w:sz w:val="20"/>
                  <w:u w:val="single"/>
                </w:rPr>
                <w:t>2023</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090fa01bc245b1abb3c989299e9615_25">
              <w:r>
                <w:rPr>
                  <w:rStyle w:val="InternetLink"/>
                  <w:rFonts w:ascii="Times New Roman;sans-serif" w:hAnsi="Times New Roman;sans-serif"/>
                  <w:b w:val="false"/>
                  <w:color w:val="0000FF"/>
                  <w:sz w:val="20"/>
                  <w:u w:val="single"/>
                </w:rPr>
                <w:t>4</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090fa01bc245b1abb3c989299e9615_28">
              <w:r>
                <w:rPr>
                  <w:rStyle w:val="InternetLink"/>
                  <w:rFonts w:ascii="Times New Roman;sans-serif" w:hAnsi="Times New Roman;sans-serif"/>
                  <w:b w:val="false"/>
                  <w:color w:val="000080"/>
                  <w:sz w:val="20"/>
                  <w:u w:val="single"/>
                </w:rPr>
                <w:t xml:space="preserve">Consolidated Statements of Changes in Stockholders' Equity (Deficit) for the </w:t>
              </w:r>
            </w:hyperlink>
            <w:hyperlink w:anchor="i9b090fa01bc245b1abb3c989299e9615_25">
              <w:r>
                <w:rPr>
                  <w:rStyle w:val="InternetLink"/>
                  <w:rFonts w:ascii="Times New Roman;sans-serif" w:hAnsi="Times New Roman;sans-serif"/>
                  <w:b w:val="false"/>
                  <w:color w:val="000080"/>
                  <w:sz w:val="20"/>
                  <w:u w:val="single"/>
                </w:rPr>
                <w:t>Three and Six</w:t>
              </w:r>
            </w:hyperlink>
            <w:hyperlink w:anchor="i9b090fa01bc245b1abb3c989299e9615_28">
              <w:r>
                <w:rPr>
                  <w:rStyle w:val="InternetLink"/>
                  <w:rFonts w:ascii="Times New Roman;sans-serif" w:hAnsi="Times New Roman;sans-serif"/>
                  <w:b w:val="false"/>
                  <w:color w:val="000080"/>
                  <w:sz w:val="20"/>
                  <w:u w:val="single"/>
                </w:rPr>
                <w:t xml:space="preserve"> Months Ended </w:t>
              </w:r>
            </w:hyperlink>
            <w:hyperlink w:anchor="i9b090fa01bc245b1abb3c989299e9615_25">
              <w:r>
                <w:rPr>
                  <w:rStyle w:val="InternetLink"/>
                  <w:rFonts w:ascii="Times New Roman;sans-serif" w:hAnsi="Times New Roman;sans-serif"/>
                  <w:b w:val="false"/>
                  <w:color w:val="000080"/>
                  <w:sz w:val="20"/>
                  <w:u w:val="single"/>
                </w:rPr>
                <w:t>June 30, 2024</w:t>
              </w:r>
            </w:hyperlink>
            <w:hyperlink w:anchor="i9b090fa01bc245b1abb3c989299e9615_28">
              <w:r>
                <w:rPr>
                  <w:rStyle w:val="InternetLink"/>
                  <w:rFonts w:ascii="Times New Roman;sans-serif" w:hAnsi="Times New Roman;sans-serif"/>
                  <w:b w:val="false"/>
                  <w:color w:val="000080"/>
                  <w:sz w:val="20"/>
                  <w:u w:val="single"/>
                </w:rPr>
                <w:t xml:space="preserve"> and </w:t>
              </w:r>
            </w:hyperlink>
            <w:hyperlink w:anchor="i9b090fa01bc245b1abb3c989299e9615_25">
              <w:r>
                <w:rPr>
                  <w:rStyle w:val="InternetLink"/>
                  <w:rFonts w:ascii="Times New Roman;sans-serif" w:hAnsi="Times New Roman;sans-serif"/>
                  <w:b w:val="false"/>
                  <w:color w:val="000080"/>
                  <w:sz w:val="20"/>
                  <w:u w:val="single"/>
                </w:rPr>
                <w:t>2023</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090fa01bc245b1abb3c989299e9615_28">
              <w:r>
                <w:rPr>
                  <w:rStyle w:val="InternetLink"/>
                  <w:rFonts w:ascii="Times New Roman;sans-serif" w:hAnsi="Times New Roman;sans-serif"/>
                  <w:b w:val="false"/>
                  <w:color w:val="0000FF"/>
                  <w:sz w:val="20"/>
                  <w:u w:val="single"/>
                </w:rPr>
                <w:t>5</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090fa01bc245b1abb3c989299e9615_31">
              <w:r>
                <w:rPr>
                  <w:rStyle w:val="InternetLink"/>
                  <w:rFonts w:ascii="Times New Roman;sans-serif" w:hAnsi="Times New Roman;sans-serif"/>
                  <w:b w:val="false"/>
                  <w:color w:val="000080"/>
                  <w:sz w:val="20"/>
                  <w:u w:val="single"/>
                </w:rPr>
                <w:t xml:space="preserve">Condensed Consolidated Statements of Cash Flows for the </w:t>
              </w:r>
            </w:hyperlink>
            <w:hyperlink w:anchor="i9b090fa01bc245b1abb3c989299e9615_31">
              <w:r>
                <w:rPr>
                  <w:rStyle w:val="InternetLink"/>
                  <w:rFonts w:ascii="Times New Roman;sans-serif" w:hAnsi="Times New Roman;sans-serif"/>
                  <w:b w:val="false"/>
                  <w:color w:val="000080"/>
                  <w:sz w:val="20"/>
                  <w:u w:val="single"/>
                </w:rPr>
                <w:t>Three and Six</w:t>
              </w:r>
            </w:hyperlink>
            <w:hyperlink w:anchor="i9b090fa01bc245b1abb3c989299e9615_31">
              <w:r>
                <w:rPr>
                  <w:rStyle w:val="InternetLink"/>
                  <w:rFonts w:ascii="Times New Roman;sans-serif" w:hAnsi="Times New Roman;sans-serif"/>
                  <w:b w:val="false"/>
                  <w:color w:val="000080"/>
                  <w:sz w:val="20"/>
                  <w:u w:val="single"/>
                </w:rPr>
                <w:t xml:space="preserve"> Months Ended </w:t>
              </w:r>
            </w:hyperlink>
            <w:hyperlink w:anchor="i9b090fa01bc245b1abb3c989299e9615_31">
              <w:r>
                <w:rPr>
                  <w:rStyle w:val="InternetLink"/>
                  <w:rFonts w:ascii="Times New Roman;sans-serif" w:hAnsi="Times New Roman;sans-serif"/>
                  <w:b w:val="false"/>
                  <w:color w:val="000080"/>
                  <w:sz w:val="20"/>
                  <w:u w:val="single"/>
                </w:rPr>
                <w:t>June 30, 2024</w:t>
              </w:r>
            </w:hyperlink>
            <w:hyperlink w:anchor="i9b090fa01bc245b1abb3c989299e9615_31">
              <w:r>
                <w:rPr>
                  <w:rStyle w:val="InternetLink"/>
                  <w:rFonts w:ascii="Times New Roman;sans-serif" w:hAnsi="Times New Roman;sans-serif"/>
                  <w:b w:val="false"/>
                  <w:color w:val="000080"/>
                  <w:sz w:val="20"/>
                  <w:u w:val="single"/>
                </w:rPr>
                <w:t xml:space="preserve"> and </w:t>
              </w:r>
            </w:hyperlink>
            <w:hyperlink w:anchor="i9b090fa01bc245b1abb3c989299e9615_31">
              <w:r>
                <w:rPr>
                  <w:rStyle w:val="InternetLink"/>
                  <w:rFonts w:ascii="Times New Roman;sans-serif" w:hAnsi="Times New Roman;sans-serif"/>
                  <w:b w:val="false"/>
                  <w:color w:val="000080"/>
                  <w:sz w:val="20"/>
                  <w:u w:val="single"/>
                </w:rPr>
                <w:t>2023</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090fa01bc245b1abb3c989299e9615_31">
              <w:r>
                <w:rPr>
                  <w:rStyle w:val="InternetLink"/>
                  <w:rFonts w:ascii="Times New Roman;sans-serif" w:hAnsi="Times New Roman;sans-serif"/>
                  <w:b w:val="false"/>
                  <w:color w:val="0000FF"/>
                  <w:sz w:val="20"/>
                  <w:u w:val="single"/>
                </w:rPr>
                <w:t>7</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090fa01bc245b1abb3c989299e9615_34">
              <w:r>
                <w:rPr>
                  <w:rStyle w:val="InternetLink"/>
                  <w:rFonts w:ascii="Times New Roman;sans-serif" w:hAnsi="Times New Roman;sans-serif"/>
                  <w:b w:val="false"/>
                  <w:color w:val="0000FF"/>
                  <w:sz w:val="20"/>
                  <w:u w:val="single"/>
                </w:rPr>
                <w:t>Notes to Condensed Consolidated Financial Statements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090fa01bc245b1abb3c989299e9615_34">
              <w:r>
                <w:rPr>
                  <w:rStyle w:val="InternetLink"/>
                  <w:rFonts w:ascii="Times New Roman;sans-serif" w:hAnsi="Times New Roman;sans-serif"/>
                  <w:b w:val="false"/>
                  <w:color w:val="0000FF"/>
                  <w:sz w:val="20"/>
                  <w:u w:val="single"/>
                </w:rPr>
                <w:t>9</w:t>
              </w:r>
            </w:hyperlink>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090fa01bc245b1abb3c989299e9615_73">
              <w:r>
                <w:rPr>
                  <w:rStyle w:val="InternetLink"/>
                  <w:rFonts w:ascii="Times New Roman;sans-serif" w:hAnsi="Times New Roman;sans-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090fa01bc245b1abb3c989299e9615_7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090fa01bc245b1abb3c989299e9615_73">
              <w:r>
                <w:rPr>
                  <w:rStyle w:val="InternetLink"/>
                  <w:rFonts w:ascii="Times New Roman;sans-serif" w:hAnsi="Times New Roman;sans-serif"/>
                  <w:b w:val="false"/>
                  <w:color w:val="0000FF"/>
                  <w:sz w:val="20"/>
                  <w:u w:val="single"/>
                </w:rPr>
                <w:t>23</w:t>
              </w:r>
            </w:hyperlink>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090fa01bc245b1abb3c989299e9615_91">
              <w:r>
                <w:rPr>
                  <w:rStyle w:val="InternetLink"/>
                  <w:rFonts w:ascii="Times New Roman;sans-serif" w:hAnsi="Times New Roman;sans-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090fa01bc245b1abb3c989299e9615_91">
              <w:r>
                <w:rPr>
                  <w:rStyle w:val="InternetLink"/>
                  <w:rFonts w:ascii="Times New Roman;sans-serif" w:hAnsi="Times New Roman;sans-serif"/>
                  <w:b w:val="false"/>
                  <w:color w:val="0000FF"/>
                  <w:sz w:val="20"/>
                  <w:u w:val="single"/>
                </w:rPr>
                <w:t>Quantitative and Qualitative Disclosure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090fa01bc245b1abb3c989299e9615_91">
              <w:r>
                <w:rPr>
                  <w:rStyle w:val="InternetLink"/>
                  <w:rFonts w:ascii="Times New Roman;sans-serif" w:hAnsi="Times New Roman;sans-serif"/>
                  <w:b w:val="false"/>
                  <w:color w:val="0000FF"/>
                  <w:sz w:val="20"/>
                  <w:u w:val="single"/>
                </w:rPr>
                <w:t>37</w:t>
              </w:r>
            </w:hyperlink>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090fa01bc245b1abb3c989299e9615_94">
              <w:r>
                <w:rPr>
                  <w:rStyle w:val="InternetLink"/>
                  <w:rFonts w:ascii="Times New Roman;sans-serif" w:hAnsi="Times New Roman;sans-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090fa01bc245b1abb3c989299e9615_94">
              <w:r>
                <w:rPr>
                  <w:rStyle w:val="InternetLink"/>
                  <w:rFonts w:ascii="Times New Roman;sans-serif" w:hAnsi="Times New Roman;sans-serif"/>
                  <w:b w:val="false"/>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090fa01bc245b1abb3c989299e9615_94">
              <w:r>
                <w:rPr>
                  <w:rStyle w:val="InternetLink"/>
                  <w:rFonts w:ascii="Times New Roman;sans-serif" w:hAnsi="Times New Roman;sans-serif"/>
                  <w:b w:val="false"/>
                  <w:color w:val="0000FF"/>
                  <w:sz w:val="20"/>
                  <w:u w:val="single"/>
                </w:rPr>
                <w:t>38</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b090fa01bc245b1abb3c989299e9615_97">
              <w:r>
                <w:rPr>
                  <w:rStyle w:val="InternetLink"/>
                  <w:rFonts w:ascii="Times New Roman;sans-serif" w:hAnsi="Times New Roman;sans-serif"/>
                  <w:b/>
                  <w:color w:val="0000FF"/>
                  <w:sz w:val="20"/>
                  <w:u w:val="single"/>
                </w:rPr>
                <w:t>Part II. Other Information</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090fa01bc245b1abb3c989299e9615_100">
              <w:r>
                <w:rPr>
                  <w:rStyle w:val="InternetLink"/>
                  <w:rFonts w:ascii="Times New Roman;sans-serif" w:hAnsi="Times New Roman;sans-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090fa01bc245b1abb3c989299e9615_100">
              <w:r>
                <w:rPr>
                  <w:rStyle w:val="InternetLink"/>
                  <w:rFonts w:ascii="Times New Roman;sans-serif" w:hAnsi="Times New Roman;sans-serif"/>
                  <w:b w:val="false"/>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090fa01bc245b1abb3c989299e9615_100">
              <w:r>
                <w:rPr>
                  <w:rStyle w:val="InternetLink"/>
                  <w:rFonts w:ascii="Times New Roman;sans-serif" w:hAnsi="Times New Roman;sans-serif"/>
                  <w:b w:val="false"/>
                  <w:color w:val="0000FF"/>
                  <w:sz w:val="20"/>
                  <w:u w:val="single"/>
                </w:rPr>
                <w:t>39</w:t>
              </w:r>
            </w:hyperlink>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090fa01bc245b1abb3c989299e9615_103">
              <w:r>
                <w:rPr>
                  <w:rStyle w:val="InternetLink"/>
                  <w:rFonts w:ascii="Times New Roman;sans-serif" w:hAnsi="Times New Roman;sans-serif"/>
                  <w:b w:val="false"/>
                  <w:color w:val="0000FF"/>
                  <w:sz w:val="20"/>
                  <w:u w:val="single"/>
                </w:rPr>
                <w:t>Item 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090fa01bc245b1abb3c989299e9615_103">
              <w:r>
                <w:rPr>
                  <w:rStyle w:val="InternetLink"/>
                  <w:rFonts w:ascii="Times New Roman;sans-serif" w:hAnsi="Times New Roman;sans-serif"/>
                  <w:b w:val="false"/>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090fa01bc245b1abb3c989299e9615_103">
              <w:r>
                <w:rPr>
                  <w:rStyle w:val="InternetLink"/>
                  <w:rFonts w:ascii="Times New Roman;sans-serif" w:hAnsi="Times New Roman;sans-serif"/>
                  <w:b w:val="false"/>
                  <w:color w:val="0000FF"/>
                  <w:sz w:val="20"/>
                  <w:u w:val="single"/>
                </w:rPr>
                <w:t>39</w:t>
              </w:r>
            </w:hyperlink>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090fa01bc245b1abb3c989299e9615_106">
              <w:r>
                <w:rPr>
                  <w:rStyle w:val="InternetLink"/>
                  <w:rFonts w:ascii="Times New Roman;sans-serif" w:hAnsi="Times New Roman;sans-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090fa01bc245b1abb3c989299e9615_106">
              <w:r>
                <w:rPr>
                  <w:rStyle w:val="InternetLink"/>
                  <w:rFonts w:ascii="Times New Roman;sans-serif" w:hAnsi="Times New Roman;sans-serif"/>
                  <w:b w:val="false"/>
                  <w:color w:val="0000FF"/>
                  <w:sz w:val="20"/>
                  <w:u w:val="single"/>
                </w:rPr>
                <w:t>Unregistered Sales of Equity Securities and Use of Proceeds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090fa01bc245b1abb3c989299e9615_106">
              <w:r>
                <w:rPr>
                  <w:rStyle w:val="InternetLink"/>
                  <w:rFonts w:ascii="Times New Roman;sans-serif" w:hAnsi="Times New Roman;sans-serif"/>
                  <w:b w:val="false"/>
                  <w:color w:val="0000FF"/>
                  <w:sz w:val="20"/>
                  <w:u w:val="single"/>
                </w:rPr>
                <w:t>39</w:t>
              </w:r>
            </w:hyperlink>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090fa01bc245b1abb3c989299e9615_115">
              <w:r>
                <w:rPr>
                  <w:rStyle w:val="InternetLink"/>
                  <w:rFonts w:ascii="Times New Roman;sans-serif" w:hAnsi="Times New Roman;sans-serif"/>
                  <w:b w:val="false"/>
                  <w:color w:val="0000FF"/>
                  <w:sz w:val="20"/>
                  <w:u w:val="single"/>
                </w:rPr>
                <w:t>Item 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090fa01bc245b1abb3c989299e9615_115">
              <w:r>
                <w:rPr>
                  <w:rStyle w:val="InternetLink"/>
                  <w:rFonts w:ascii="Times New Roman;sans-serif" w:hAnsi="Times New Roman;sans-serif"/>
                  <w:b w:val="false"/>
                  <w:color w:val="0000FF"/>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090fa01bc245b1abb3c989299e9615_115">
              <w:r>
                <w:rPr>
                  <w:rStyle w:val="InternetLink"/>
                  <w:rFonts w:ascii="Times New Roman;sans-serif" w:hAnsi="Times New Roman;sans-serif"/>
                  <w:b w:val="false"/>
                  <w:color w:val="0000FF"/>
                  <w:sz w:val="20"/>
                  <w:u w:val="single"/>
                </w:rPr>
                <w:t>41</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090fa01bc245b1abb3c989299e9615_118">
              <w:r>
                <w:rPr>
                  <w:rStyle w:val="InternetLink"/>
                  <w:rFonts w:ascii="Times New Roman;sans-serif" w:hAnsi="Times New Roman;sans-serif"/>
                  <w:b w:val="false"/>
                  <w:color w:val="0000FF"/>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090fa01bc245b1abb3c989299e9615_118">
              <w:r>
                <w:rPr>
                  <w:rStyle w:val="InternetLink"/>
                  <w:rFonts w:ascii="Times New Roman;sans-serif" w:hAnsi="Times New Roman;sans-serif"/>
                  <w:b w:val="false"/>
                  <w:color w:val="0000FF"/>
                  <w:sz w:val="20"/>
                  <w:u w:val="single"/>
                </w:rPr>
                <w:t>S-1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120"/>
        <w:jc w:val="center"/>
        <w:rPr>
          <w:rFonts w:ascii="Times New Roman;sans-serif" w:hAnsi="Times New Roman;sans-serif"/>
          <w:b/>
          <w:color w:val="000000"/>
          <w:sz w:val="24"/>
        </w:rPr>
      </w:pPr>
      <w:r>
        <w:rPr>
          <w:rFonts w:ascii="Times New Roman;sans-serif" w:hAnsi="Times New Roman;sans-serif"/>
          <w:b/>
          <w:color w:val="000000"/>
          <w:sz w:val="24"/>
        </w:rPr>
        <w:t>SPECIAL NOTE REGARDING FORWARD-LOOKING STATEMENTS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Certain statements in this Quarterly Report on Form 10-Q are “forward-looking statements” within the meaning of Section 21E of the Securities Exchange Act of 1934, as amended, and are subject to the safe harbor created thereby. All statements contained in this Quarterly Report on Form 10-Q other than statements of historical facts, including statements regarding our future results of operations and financial position, our business strategy and plans and our objectives for future operations, are forward-looking statements. The words “believe,” “may,” “will,” “estimate,” “continue,” “anticipate,” “intend,” “expect” and similar expressions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“Item 1A. Risk Factors” of our Annual Report on Form 10-K for the year ended December 31, 2023, in “Item 1A. Risk Factors” in Part II of this Quarterly Report on Form 10-Q and in any subsequent filing we make with the SEC, as well as in any documents incorporated by reference that describe risks and factors that could cause results to differ materially from those projected in these forward-looking statements.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Although we believe that the expectations reflected in the forward-looking statements are reasonable, we cannot guarantee future results, levels of activity, performance, achievements or events and circumstances reflected in the forward-looking statements will occur. We are under no duty to update any of these forward-looking statements after completion of this Quarterly Report on Form 10-Q to conform these statements to actual results or revised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120"/>
        <w:jc w:val="center"/>
        <w:rPr>
          <w:rFonts w:ascii="Times New Roman;sans-serif" w:hAnsi="Times New Roman;sans-serif"/>
          <w:b/>
          <w:color w:val="000000"/>
          <w:sz w:val="24"/>
        </w:rPr>
      </w:pPr>
      <w:r>
        <w:rPr>
          <w:rFonts w:ascii="Times New Roman;sans-serif" w:hAnsi="Times New Roman;sans-serif"/>
          <w:b/>
          <w:color w:val="000000"/>
          <w:sz w:val="24"/>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2"/>
        </w:rPr>
      </w:pPr>
      <w:r>
        <w:rPr>
          <w:rFonts w:ascii="Times New Roman;sans-serif" w:hAnsi="Times New Roman;sans-serif"/>
          <w:b/>
          <w:color w:val="000000"/>
          <w:sz w:val="2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97"/>
        <w:gridCol w:w="2019"/>
        <w:gridCol w:w="1987"/>
        <w:gridCol w:w="259"/>
        <w:gridCol w:w="1200"/>
        <w:gridCol w:w="133"/>
        <w:gridCol w:w="133"/>
        <w:gridCol w:w="133"/>
        <w:gridCol w:w="133"/>
        <w:gridCol w:w="283"/>
        <w:gridCol w:w="1314"/>
        <w:gridCol w:w="214"/>
      </w:tblGrid>
      <w:tr>
        <w:trPr/>
        <w:tc>
          <w:tcPr>
            <w:tcW w:w="2397"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WORKIVA INC.</w:t>
              <w:br/>
              <w:br/>
              <w:t>CONDENSED 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c>
      </w:tr>
      <w:tr>
        <w:trPr/>
        <w:tc>
          <w:tcPr>
            <w:tcW w:w="6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June 30, 2024</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6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267,897 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256,100 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472,956 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557,622 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doubtful accounts of $1,200 and $1,163 at June 30, 2024 and December 31, 2023, respectively</w:t>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121,359 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125,193 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costs</w:t>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4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932,390 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1,008,936 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costs, non-current</w:t>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33,346 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199,202 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112,097 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1,242,689 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1,218,860 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360"/>
        <w:gridCol w:w="2077"/>
        <w:gridCol w:w="2081"/>
        <w:gridCol w:w="262"/>
        <w:gridCol w:w="1214"/>
        <w:gridCol w:w="135"/>
        <w:gridCol w:w="135"/>
        <w:gridCol w:w="135"/>
        <w:gridCol w:w="135"/>
        <w:gridCol w:w="262"/>
        <w:gridCol w:w="1214"/>
        <w:gridCol w:w="195"/>
      </w:tblGrid>
      <w:tr>
        <w:trPr/>
        <w:tc>
          <w:tcPr>
            <w:tcW w:w="2360"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WORKIVA INC.</w:t>
              <w:br/>
              <w:br/>
              <w:t>CONDENSED CONSOLIDATED BALANCE SHEETS (continued)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c>
      </w:tr>
      <w:tr>
        <w:trPr/>
        <w:tc>
          <w:tcPr>
            <w:tcW w:w="6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June 30, 2024</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6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DEFICIT</w:t>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113,339 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97,921 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384,105 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380,843 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r>
      <w:tr>
        <w:trPr/>
        <w:tc>
          <w:tcPr>
            <w:tcW w:w="6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506,220 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484,500 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non-current</w:t>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763,672 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762,455 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non-current</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 non-current</w:t>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4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1,320,436 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1,308,250 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w:t>
            </w:r>
          </w:p>
        </w:tc>
        <w:tc>
          <w:tcPr>
            <w:tcW w:w="1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$0.001 par value per share, 1,000,000,000 shares authorized, 51,068,836 and 50,333,435 shares issued and outstanding at June 30, 2024 and December 31, 2023, respectively</w:t>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$0.001 par value per share, 500,000,000 shares authorized, 3,845,583 and 3,845,583 shares issued and outstanding at June 30, 2024 and December 31, 2023, respectively</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$0.001 par value per share, 100,000,000 shares authorized, no shares issued and outstanding</w:t>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paid-in-capital</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608,804 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562,942 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(681,876)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(652,641)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income</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w:t>
            </w:r>
          </w:p>
        </w:tc>
        <w:tc>
          <w:tcPr>
            <w:tcW w:w="1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(77,747)</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(89,390)</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deficit</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1,242,689 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1,218,860 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pPr>
      <w:r>
        <w:rPr>
          <w:rFonts w:ascii="Times New Roman;sans-serif" w:hAnsi="Times New Roman;sans-serif"/>
          <w:b w:val="false"/>
          <w:i/>
          <w:color w:val="000000"/>
          <w:sz w:val="22"/>
        </w:rPr>
        <w:t>See accompanying notes.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672"/>
        <w:gridCol w:w="1367"/>
        <w:gridCol w:w="1378"/>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6"/>
      </w:tblGrid>
      <w:tr>
        <w:trPr/>
        <w:tc>
          <w:tcPr>
            <w:tcW w:w="1672"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WORKIVA INC.</w:t>
              <w:br/>
              <w:br/>
              <w:t>CONDENSED CONSOLIDATED STATEMENTS OF OPERATIONS</w:t>
              <w:br/>
              <w:t>(in thousands, except share and per share amounts)</w:t>
              <w:br/>
              <w:t>(unaudited)</w:t>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305,211 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78,022 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296,718 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(69,529)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(65,656)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(67,060)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 basic and 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55,177,162 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54,009,963 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55,046,507 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53,850,986 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00"/>
        <w:jc w:val="left"/>
        <w:rPr/>
      </w:pPr>
      <w:r>
        <w:rPr/>
      </w:r>
    </w:p>
    <w:p>
      <w:pPr>
        <w:pStyle w:val="TextBody"/>
        <w:bidi w:val="0"/>
        <w:spacing w:lineRule="auto" w:line="288" w:before="100" w:after="100"/>
        <w:jc w:val="left"/>
        <w:rPr/>
      </w:pPr>
      <w:r>
        <w:rPr>
          <w:rFonts w:ascii="Times New Roman;sans-serif" w:hAnsi="Times New Roman;sans-serif"/>
          <w:b w:val="false"/>
          <w:i/>
          <w:color w:val="000000"/>
          <w:sz w:val="22"/>
        </w:rPr>
        <w:t>See accompanying notes.</w:t>
      </w:r>
      <w:r>
        <w:rPr>
          <w:color w:val="000000"/>
        </w:rPr>
        <w:t xml:space="preserve">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426"/>
        <w:gridCol w:w="1217"/>
        <w:gridCol w:w="1239"/>
        <w:gridCol w:w="244"/>
        <w:gridCol w:w="912"/>
        <w:gridCol w:w="126"/>
        <w:gridCol w:w="126"/>
        <w:gridCol w:w="126"/>
        <w:gridCol w:w="126"/>
        <w:gridCol w:w="244"/>
        <w:gridCol w:w="912"/>
        <w:gridCol w:w="126"/>
        <w:gridCol w:w="126"/>
        <w:gridCol w:w="126"/>
        <w:gridCol w:w="126"/>
        <w:gridCol w:w="244"/>
        <w:gridCol w:w="912"/>
        <w:gridCol w:w="126"/>
        <w:gridCol w:w="126"/>
        <w:gridCol w:w="126"/>
        <w:gridCol w:w="126"/>
        <w:gridCol w:w="244"/>
        <w:gridCol w:w="912"/>
        <w:gridCol w:w="187"/>
      </w:tblGrid>
      <w:tr>
        <w:trPr/>
        <w:tc>
          <w:tcPr>
            <w:tcW w:w="142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WORKIVA INC.</w:t>
              <w:br/>
              <w:br/>
              <w:t>CONDENSED CONSOLIDATED STATEMENTS OF COMPREHENSIVE LOSS</w:t>
              <w:br/>
              <w:t>(in thousands)</w:t>
              <w:br/>
              <w:t>(unaudited)</w:t>
            </w:r>
          </w:p>
        </w:tc>
      </w:tr>
      <w:tr>
        <w:trPr/>
        <w:tc>
          <w:tcPr>
            <w:tcW w:w="3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(17,548)</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(20,910)</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(67,060)</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on available-for-sale securities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(18,643)</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(20,918)</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(34,220)</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(63,788)</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120" w:after="12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See accompanying notes.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24"/>
        <w:gridCol w:w="456"/>
        <w:gridCol w:w="458"/>
        <w:gridCol w:w="323"/>
        <w:gridCol w:w="323"/>
        <w:gridCol w:w="186"/>
        <w:gridCol w:w="119"/>
        <w:gridCol w:w="119"/>
        <w:gridCol w:w="119"/>
        <w:gridCol w:w="264"/>
        <w:gridCol w:w="364"/>
        <w:gridCol w:w="119"/>
        <w:gridCol w:w="110"/>
        <w:gridCol w:w="110"/>
        <w:gridCol w:w="110"/>
        <w:gridCol w:w="248"/>
        <w:gridCol w:w="937"/>
        <w:gridCol w:w="140"/>
        <w:gridCol w:w="110"/>
        <w:gridCol w:w="110"/>
        <w:gridCol w:w="110"/>
        <w:gridCol w:w="338"/>
        <w:gridCol w:w="985"/>
        <w:gridCol w:w="189"/>
        <w:gridCol w:w="110"/>
        <w:gridCol w:w="110"/>
        <w:gridCol w:w="110"/>
        <w:gridCol w:w="205"/>
        <w:gridCol w:w="797"/>
        <w:gridCol w:w="114"/>
        <w:gridCol w:w="110"/>
        <w:gridCol w:w="110"/>
        <w:gridCol w:w="110"/>
        <w:gridCol w:w="243"/>
        <w:gridCol w:w="824"/>
        <w:gridCol w:w="191"/>
      </w:tblGrid>
      <w:tr>
        <w:trPr/>
        <w:tc>
          <w:tcPr>
            <w:tcW w:w="82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WORKIVA INC.</w:t>
            </w:r>
          </w:p>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 (DEFICIT)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br/>
              <w:t>(unaudited)</w:t>
            </w:r>
          </w:p>
        </w:tc>
      </w:tr>
      <w:tr>
        <w:trPr/>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r>
      <w:tr>
        <w:trPr/>
        <w:tc>
          <w:tcPr>
            <w:tcW w:w="1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(Class A and B)</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Paid-in-Capital</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Stockholders' Deficit</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at December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54,179 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562,942 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(652,641)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(89,390)</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23,007 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23,007 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related to net share settlements of stock-based compensation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(8,611)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(11,687)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(11,687)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at March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54,785 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584,752 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(3,635)</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(664,328)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(83,156)</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25,402 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25,402 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related to net share settlements of stock-based compensation awards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(17,548)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(1,095)</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at June 30, 2024</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54,914 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608,804 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(4,730)</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(681,876)</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(77,747)</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1738"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1738"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1738"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1738"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1738"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1738"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1738"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1738"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1738"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32"/>
        <w:gridCol w:w="465"/>
        <w:gridCol w:w="467"/>
        <w:gridCol w:w="323"/>
        <w:gridCol w:w="323"/>
        <w:gridCol w:w="186"/>
        <w:gridCol w:w="120"/>
        <w:gridCol w:w="120"/>
        <w:gridCol w:w="120"/>
        <w:gridCol w:w="264"/>
        <w:gridCol w:w="365"/>
        <w:gridCol w:w="120"/>
        <w:gridCol w:w="113"/>
        <w:gridCol w:w="113"/>
        <w:gridCol w:w="113"/>
        <w:gridCol w:w="273"/>
        <w:gridCol w:w="935"/>
        <w:gridCol w:w="121"/>
        <w:gridCol w:w="113"/>
        <w:gridCol w:w="113"/>
        <w:gridCol w:w="113"/>
        <w:gridCol w:w="304"/>
        <w:gridCol w:w="983"/>
        <w:gridCol w:w="152"/>
        <w:gridCol w:w="113"/>
        <w:gridCol w:w="113"/>
        <w:gridCol w:w="113"/>
        <w:gridCol w:w="205"/>
        <w:gridCol w:w="799"/>
        <w:gridCol w:w="114"/>
        <w:gridCol w:w="113"/>
        <w:gridCol w:w="113"/>
        <w:gridCol w:w="113"/>
        <w:gridCol w:w="281"/>
        <w:gridCol w:w="783"/>
        <w:gridCol w:w="194"/>
      </w:tblGrid>
      <w:tr>
        <w:trPr/>
        <w:tc>
          <w:tcPr>
            <w:tcW w:w="83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WORKIVA INC.</w:t>
            </w:r>
          </w:p>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 (DEFICIT) (continued)</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br/>
              <w:t>(unaudited)</w:t>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1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(Class A and B)</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Paid-in-Capital</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at December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52,652 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537,732 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(6,686)</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(525,116)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38,042 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38,042 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related to net share settlements of stock-based compensation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(46,150)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(46,150)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at March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53,232 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575,549 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(3,406)</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(571,266)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20,610 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related to net share settlements of stock-based compensation awards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(1,212)</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(20,910)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(20,910)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at June 30, 2023</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53,533 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595,693 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(3,414)</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(592,176)</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See accompanying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875"/>
        <w:gridCol w:w="1428"/>
        <w:gridCol w:w="1438"/>
        <w:gridCol w:w="213"/>
        <w:gridCol w:w="782"/>
        <w:gridCol w:w="110"/>
        <w:gridCol w:w="110"/>
        <w:gridCol w:w="110"/>
        <w:gridCol w:w="110"/>
        <w:gridCol w:w="213"/>
        <w:gridCol w:w="782"/>
        <w:gridCol w:w="110"/>
        <w:gridCol w:w="110"/>
        <w:gridCol w:w="110"/>
        <w:gridCol w:w="110"/>
        <w:gridCol w:w="213"/>
        <w:gridCol w:w="782"/>
        <w:gridCol w:w="110"/>
        <w:gridCol w:w="110"/>
        <w:gridCol w:w="110"/>
        <w:gridCol w:w="110"/>
        <w:gridCol w:w="213"/>
        <w:gridCol w:w="782"/>
        <w:gridCol w:w="164"/>
      </w:tblGrid>
      <w:tr>
        <w:trPr/>
        <w:tc>
          <w:tcPr>
            <w:tcW w:w="1875"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WORKIVA INC.</w:t>
              <w:br/>
              <w:br/>
              <w:t>CONDENSED CONSOLIDATED STATEMENTS OF CASH FLOWS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br/>
              <w:t>(unaudited)</w:t>
            </w:r>
          </w:p>
        </w:tc>
      </w:tr>
      <w:tr>
        <w:trPr/>
        <w:tc>
          <w:tcPr>
            <w:tcW w:w="4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(67,060)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provided by operating activities:</w:t>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58,652 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(recovery of) doubtful accounts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on sale of available-for-sale securities, net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premiums and discounts on marketable securities, net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issuance costs and debt discount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costs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operating activities</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marketable securities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(34,986)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(51,204)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(151,553)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(177,019)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marketable securities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65,052 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marketable securities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net of cash acquired</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(98,280)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(98,280)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intangible assets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9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(26,315)</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(22,544)</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(8,867)</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(73,018)</w:t>
            </w:r>
          </w:p>
        </w:tc>
        <w:tc>
          <w:tcPr>
            <w:tcW w:w="1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719"/>
        <w:gridCol w:w="1262"/>
        <w:gridCol w:w="1271"/>
        <w:gridCol w:w="223"/>
        <w:gridCol w:w="876"/>
        <w:gridCol w:w="115"/>
        <w:gridCol w:w="115"/>
        <w:gridCol w:w="115"/>
        <w:gridCol w:w="115"/>
        <w:gridCol w:w="223"/>
        <w:gridCol w:w="876"/>
        <w:gridCol w:w="115"/>
        <w:gridCol w:w="115"/>
        <w:gridCol w:w="115"/>
        <w:gridCol w:w="115"/>
        <w:gridCol w:w="223"/>
        <w:gridCol w:w="876"/>
        <w:gridCol w:w="115"/>
        <w:gridCol w:w="115"/>
        <w:gridCol w:w="115"/>
        <w:gridCol w:w="115"/>
        <w:gridCol w:w="223"/>
        <w:gridCol w:w="876"/>
        <w:gridCol w:w="177"/>
      </w:tblGrid>
      <w:tr>
        <w:trPr/>
        <w:tc>
          <w:tcPr>
            <w:tcW w:w="171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WORKIVA INC.</w:t>
              <w:br/>
              <w:br/>
              <w:t>CONDENSED CONSOLIDATED STATEMENTS OF CASH FLOWS (continued)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br/>
              <w:t>(unaudited)</w:t>
            </w:r>
          </w:p>
        </w:tc>
      </w:tr>
      <w:tr>
        <w:trPr/>
        <w:tc>
          <w:tcPr>
            <w:tcW w:w="4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option exercises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share settlements of stock-based compensation awards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shares issued in connection with employee stock purchase plan</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425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4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finance lease obligations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4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rates on cash</w:t>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cash equivalents and restricted cash</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(41,258)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195,485 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240,197 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268,412 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198,939 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268,412 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198,939 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disclosure</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 net of refunds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cash, cash equivalents, and restricted cash to the consolidated balance sheets</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267,897 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267,897 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198,939 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within prepaid expenses and other at end of period</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 at end of period shown in the consolidated statements of cash flows</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268,412 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198,939 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268,412 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198,939 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425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425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425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120" w:after="120"/>
        <w:jc w:val="left"/>
        <w:rPr>
          <w:rFonts w:ascii="Times New Roman;sans-serif" w:hAnsi="Times New Roman;sans-serif"/>
          <w:b w:val="false"/>
          <w:i/>
          <w:color w:val="000000"/>
          <w:sz w:val="22"/>
        </w:rPr>
      </w:pPr>
      <w:r>
        <w:rPr>
          <w:rFonts w:ascii="Times New Roman;sans-serif" w:hAnsi="Times New Roman;sans-serif"/>
          <w:b w:val="false"/>
          <w:i/>
          <w:color w:val="000000"/>
          <w:sz w:val="22"/>
        </w:rPr>
        <w:t>See accompanying notes.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WORKIVA INC.</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2"/>
        </w:rPr>
      </w:pPr>
      <w:r>
        <w:rPr>
          <w:rFonts w:ascii="Times New Roman;sans-serif" w:hAnsi="Times New Roman;sans-serif"/>
          <w:b/>
          <w:color w:val="000000"/>
          <w:sz w:val="22"/>
        </w:rPr>
        <w:t xml:space="preserve">1. Organization and Significant Accounting Policies </w:t>
      </w:r>
    </w:p>
    <w:p>
      <w:pPr>
        <w:pStyle w:val="TextBody"/>
        <w:bidi w:val="0"/>
        <w:spacing w:lineRule="auto" w:line="288" w:before="240" w:after="120"/>
        <w:jc w:val="left"/>
        <w:rPr>
          <w:rFonts w:ascii="Times New Roman;sans-serif" w:hAnsi="Times New Roman;sans-serif"/>
          <w:b/>
          <w:i/>
          <w:color w:val="000000"/>
          <w:sz w:val="22"/>
        </w:rPr>
      </w:pPr>
      <w:r>
        <w:rPr>
          <w:rFonts w:ascii="Times New Roman;sans-serif" w:hAnsi="Times New Roman;sans-serif"/>
          <w:b/>
          <w:i/>
          <w:color w:val="000000"/>
          <w:sz w:val="22"/>
        </w:rPr>
        <w:t>Organization</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Workiva Inc., a Delaware corporation, and its wholly-owned subsidiaries (the “Company” or “we” or “us”) is on a mission to power transparent reporting for a better world. We believe that all stakeholders, including consumers, employees, shareholders, and regulators expect more from business – more action, transparency, and disclosure of financial and non-financial information. We build solutions to meet that demand and streamline processes, connect data and teams, and ensure consistency – all within the Workiva platform, the world’s leading cloud platform for assured integrated reporting. Our operational headquarters are located in Ames, Iowa, with additional offices located in the United States, Europe, the Asia-Pacific region and Canada.</w:t>
      </w:r>
    </w:p>
    <w:p>
      <w:pPr>
        <w:pStyle w:val="TextBody"/>
        <w:bidi w:val="0"/>
        <w:spacing w:lineRule="auto" w:line="288" w:before="240" w:after="120"/>
        <w:jc w:val="left"/>
        <w:rPr>
          <w:rFonts w:ascii="Times New Roman;sans-serif" w:hAnsi="Times New Roman;sans-serif"/>
          <w:b/>
          <w:i/>
          <w:color w:val="000000"/>
          <w:sz w:val="22"/>
        </w:rPr>
      </w:pPr>
      <w:r>
        <w:rPr>
          <w:rFonts w:ascii="Times New Roman;sans-serif" w:hAnsi="Times New Roman;sans-serif"/>
          <w:b/>
          <w:i/>
          <w:color w:val="000000"/>
          <w:sz w:val="22"/>
        </w:rPr>
        <w:t xml:space="preserve">Basis of Presentation and Principles of Consolidation </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financial information presented in the accompanying unaudited condensed consolidated financial statements has been prepared in accordance with U.S. generally accepted accounting principles (“U.S. GAAP”) and in accordance with rules and regulations of the U.S. Securities and Exchange Commission (“SEC”) regarding interim financial reporting. The condensed consolidated balance sheet data as of December 31, 2023 was derived from audited financial statements, but does not include all disclosures required by U.S. GAAP. In the opinion of management, the accompanying unaudited condensed consolidated financial statements reflect all adjustments, consisting primarily of normal recurring accruals, necessary for a fair presentation of our financial position and results of operations. The operating results for the three and six months ended June 30, 2024 are not necessarily indicative of the results expected for the full year ending December 31, 2024. </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Seasonality affects our revenue, expenses and cash flows from operations. Revenue from professional services is generally higher in the first quarter as many of our customers file their 10-K in the first calendar quarter. Our sales and marketing expense also has some degree of seasonality. Sales and marketing expenses have historically been higher in the third quarter due to our annual user conference in September. In addition, the timing of cash bonus payments to employees during the first and fourth calendar quarters may result in some seasonality in operating cash flow. The condensed consolidated financial information should be read in conjunction with “Management’s Discussion and Analysis of Financial Condition and Results of Operations” contained in this report and the consolidated financial statements and notes included in the Company’s Annual Report on Form 10-K for the fiscal year ended December 31, 2023 filed with the SEC on February 20, 2024.</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unaudited condensed consolidated financial statements include the accounts of Workiva Inc. and its wholly-owned subsidiaries. All intercompany accounts and transactions have been eliminated in consolidation.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240" w:after="120"/>
        <w:jc w:val="both"/>
        <w:rPr>
          <w:rFonts w:ascii="Times New Roman;sans-serif" w:hAnsi="Times New Roman;sans-serif"/>
          <w:b/>
          <w:i/>
          <w:color w:val="000000"/>
          <w:sz w:val="22"/>
        </w:rPr>
      </w:pPr>
      <w:r>
        <w:rPr>
          <w:rFonts w:ascii="Times New Roman;sans-serif" w:hAnsi="Times New Roman;sans-serif"/>
          <w:b/>
          <w:i/>
          <w:color w:val="000000"/>
          <w:sz w:val="22"/>
        </w:rPr>
        <w:t xml:space="preserve">Use of Estimates </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preparation of consolidated financial statements in conformity with accounting principles generally accepted in the United States requires us to make estimates and assumptions that affect the amounts reported in the consolidated financial statements and accompanying notes. We base our estimates on historical experience and various other assumptions believed to be reasonable. These estimates include, but are not limited to, the allowance for doubtful accounts, the determination of the relative selling prices of our services, the measurement of material rights, health insurance claims incurred but not yet reported, valuation of available-for-sale marketable securities, useful lives of deferred contract costs, intangible assets and property and equipment, goodwill, income taxes, discount rates used in the valuation of right-of-use assets and lease liabilities, and certain assumptions used in the valuation of equity awards. While these estimates are based on our best knowledge of current events and actions that may affect us in the future, actual results may differ materially from these estimates. </w:t>
      </w:r>
    </w:p>
    <w:p>
      <w:pPr>
        <w:pStyle w:val="TextBody"/>
        <w:bidi w:val="0"/>
        <w:spacing w:lineRule="auto" w:line="288" w:before="240" w:after="120"/>
        <w:jc w:val="both"/>
        <w:rPr>
          <w:rFonts w:ascii="Times New Roman;sans-serif" w:hAnsi="Times New Roman;sans-serif"/>
          <w:b/>
          <w:i/>
          <w:color w:val="000000"/>
          <w:sz w:val="22"/>
        </w:rPr>
      </w:pPr>
      <w:r>
        <w:rPr>
          <w:rFonts w:ascii="Times New Roman;sans-serif" w:hAnsi="Times New Roman;sans-serif"/>
          <w:b/>
          <w:i/>
          <w:color w:val="000000"/>
          <w:sz w:val="22"/>
        </w:rPr>
        <w:t>Recently Adopted Accounting Pronouncements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None.</w:t>
      </w:r>
    </w:p>
    <w:p>
      <w:pPr>
        <w:pStyle w:val="TextBody"/>
        <w:bidi w:val="0"/>
        <w:spacing w:lineRule="auto" w:line="288" w:before="240" w:after="120"/>
        <w:jc w:val="both"/>
        <w:rPr>
          <w:rFonts w:ascii="Times New Roman;sans-serif" w:hAnsi="Times New Roman;sans-serif"/>
          <w:b/>
          <w:i/>
          <w:color w:val="000000"/>
          <w:sz w:val="22"/>
        </w:rPr>
      </w:pPr>
      <w:r>
        <w:rPr>
          <w:rFonts w:ascii="Times New Roman;sans-serif" w:hAnsi="Times New Roman;sans-serif"/>
          <w:b/>
          <w:i/>
          <w:color w:val="000000"/>
          <w:sz w:val="22"/>
        </w:rPr>
        <w:t>New Accounting Pronouncements Not Yet Adopted</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 xml:space="preserve">In November 2023, the FASB issued ASU 2023-07, </w:t>
      </w:r>
      <w:r>
        <w:rPr>
          <w:rFonts w:ascii="Times New Roman;sans-serif" w:hAnsi="Times New Roman;sans-serif"/>
          <w:b w:val="false"/>
          <w:i/>
          <w:color w:val="000000"/>
          <w:sz w:val="22"/>
        </w:rPr>
        <w:t>Segment Reporting (Topic 280): Improvements to Reportable Segment Disclosures</w:t>
      </w:r>
      <w:r>
        <w:rPr>
          <w:rFonts w:ascii="Times New Roman;sans-serif" w:hAnsi="Times New Roman;sans-serif"/>
          <w:b w:val="false"/>
          <w:color w:val="000000"/>
          <w:sz w:val="22"/>
        </w:rPr>
        <w:t>, which expands disclosures about a public entity’s reportable segments and requires more enhanced information about a reportable segment’s expenses, interim segment profit or loss, and how a public entity’s chief operating decision maker uses reported segment profit or loss information in assessing segment performance and allocating resources. The standard is effective for annual periods beginning after December 15, 2023, with early adoption permitted. We are assessing the effect of adopting this standard on our consolidated financial statements and related disclosures.</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 xml:space="preserve">In December 2023, the FASB issued ASU 2023-09, </w:t>
      </w:r>
      <w:r>
        <w:rPr>
          <w:rFonts w:ascii="Times New Roman;sans-serif" w:hAnsi="Times New Roman;sans-serif"/>
          <w:b w:val="false"/>
          <w:i/>
          <w:color w:val="000000"/>
          <w:sz w:val="22"/>
        </w:rPr>
        <w:t>Income Taxes (Topic 740): Improvements to Income Tax Disclosures</w:t>
      </w:r>
      <w:r>
        <w:rPr>
          <w:rFonts w:ascii="Times New Roman;sans-serif" w:hAnsi="Times New Roman;sans-serif"/>
          <w:b w:val="false"/>
          <w:color w:val="000000"/>
          <w:sz w:val="22"/>
        </w:rPr>
        <w:t>, which expands disclosures in an entity’s income tax rate reconciliation table and regarding cash taxes paid both in the U.S. and foreign jurisdictions. The standard is effective for annual periods beginning after December 15, 2024, with early adoption permitted. We are assessing the effect of adopting this standard on our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120"/>
        <w:jc w:val="left"/>
        <w:rPr>
          <w:rFonts w:ascii="Times New Roman;sans-serif" w:hAnsi="Times New Roman;sans-serif"/>
          <w:b/>
          <w:color w:val="000000"/>
          <w:sz w:val="22"/>
        </w:rPr>
      </w:pPr>
      <w:r>
        <w:rPr>
          <w:rFonts w:ascii="Times New Roman;sans-serif" w:hAnsi="Times New Roman;sans-serif"/>
          <w:b/>
          <w:color w:val="000000"/>
          <w:sz w:val="22"/>
        </w:rPr>
        <w:t>2. Supplemental Consolidated Balance Sheet Information</w:t>
      </w:r>
    </w:p>
    <w:p>
      <w:pPr>
        <w:pStyle w:val="TextBody"/>
        <w:bidi w:val="0"/>
        <w:spacing w:lineRule="auto" w:line="288" w:before="120" w:after="120"/>
        <w:jc w:val="both"/>
        <w:rPr>
          <w:rFonts w:ascii="Times New Roman;sans-serif" w:hAnsi="Times New Roman;sans-serif"/>
          <w:b/>
          <w:i/>
          <w:color w:val="000000"/>
          <w:sz w:val="22"/>
        </w:rPr>
      </w:pPr>
      <w:r>
        <w:rPr>
          <w:rFonts w:ascii="Times New Roman;sans-serif" w:hAnsi="Times New Roman;sans-serif"/>
          <w:b/>
          <w:i/>
          <w:color w:val="000000"/>
          <w:sz w:val="22"/>
        </w:rPr>
        <w:t>Accrued Expenses and Other Current Liabilities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Accrued expenses and other current liabilities consisted of the following (in thousands):</w:t>
      </w:r>
    </w:p>
    <w:tbl>
      <w:tblPr>
        <w:tblW w:w="7180" w:type="dxa"/>
        <w:jc w:val="left"/>
        <w:tblInd w:w="0" w:type="dxa"/>
        <w:tblLayout w:type="fixed"/>
        <w:tblCellMar>
          <w:top w:w="28" w:type="dxa"/>
          <w:left w:w="28" w:type="dxa"/>
          <w:bottom w:w="28" w:type="dxa"/>
          <w:right w:w="28" w:type="dxa"/>
        </w:tblCellMar>
      </w:tblPr>
      <w:tblGrid>
        <w:gridCol w:w="1042"/>
        <w:gridCol w:w="917"/>
        <w:gridCol w:w="920"/>
        <w:gridCol w:w="320"/>
        <w:gridCol w:w="1254"/>
        <w:gridCol w:w="165"/>
        <w:gridCol w:w="109"/>
        <w:gridCol w:w="109"/>
        <w:gridCol w:w="109"/>
        <w:gridCol w:w="434"/>
        <w:gridCol w:w="1484"/>
        <w:gridCol w:w="317"/>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vacation</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15,356 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commissions</w:t>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bonuses</w:t>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w:t>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health insurance claims</w:t>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 employee contributions</w:t>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w:t>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 liabilities</w:t>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113,339 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97,921 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2"/>
        </w:rPr>
      </w:pPr>
      <w:r>
        <w:rPr>
          <w:rFonts w:ascii="Times New Roman;sans-serif" w:hAnsi="Times New Roman;sans-serif"/>
          <w:b/>
          <w:color w:val="000000"/>
          <w:sz w:val="22"/>
        </w:rPr>
        <w:t>3. Cash Equivalents and Marketable Securities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At June 30, 2024, cash equivalents and marketable securities consisted of the following (in thousands):</w:t>
      </w:r>
    </w:p>
    <w:tbl>
      <w:tblPr>
        <w:tblW w:w="10205" w:type="dxa"/>
        <w:jc w:val="left"/>
        <w:tblInd w:w="0" w:type="dxa"/>
        <w:tblLayout w:type="fixed"/>
        <w:tblCellMar>
          <w:top w:w="28" w:type="dxa"/>
          <w:left w:w="28" w:type="dxa"/>
          <w:bottom w:w="28" w:type="dxa"/>
          <w:right w:w="28" w:type="dxa"/>
        </w:tblCellMar>
      </w:tblPr>
      <w:tblGrid>
        <w:gridCol w:w="1108"/>
        <w:gridCol w:w="922"/>
        <w:gridCol w:w="925"/>
        <w:gridCol w:w="253"/>
        <w:gridCol w:w="994"/>
        <w:gridCol w:w="130"/>
        <w:gridCol w:w="109"/>
        <w:gridCol w:w="109"/>
        <w:gridCol w:w="109"/>
        <w:gridCol w:w="431"/>
        <w:gridCol w:w="831"/>
        <w:gridCol w:w="223"/>
        <w:gridCol w:w="109"/>
        <w:gridCol w:w="109"/>
        <w:gridCol w:w="109"/>
        <w:gridCol w:w="403"/>
        <w:gridCol w:w="923"/>
        <w:gridCol w:w="210"/>
        <w:gridCol w:w="109"/>
        <w:gridCol w:w="109"/>
        <w:gridCol w:w="109"/>
        <w:gridCol w:w="329"/>
        <w:gridCol w:w="1293"/>
        <w:gridCol w:w="249"/>
      </w:tblGrid>
      <w:tr>
        <w:trPr/>
        <w:tc>
          <w:tcPr>
            <w:tcW w:w="110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Aggregate Fair Value</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146,211 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146,211 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debt securities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222,378 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222,045 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debt securities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89,874 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89,747 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153,605 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153,286 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621,925 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621,146 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cash and cash equivalents</w:t>
            </w:r>
          </w:p>
        </w:tc>
        <w:tc>
          <w:tcPr>
            <w:tcW w:w="2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148,190 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148,190 </w:t>
            </w:r>
          </w:p>
        </w:tc>
        <w:tc>
          <w:tcPr>
            <w:tcW w:w="24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marketable securities</w:t>
            </w:r>
          </w:p>
        </w:tc>
        <w:tc>
          <w:tcPr>
            <w:tcW w:w="2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473,735 </w:t>
            </w:r>
          </w:p>
        </w:tc>
        <w:tc>
          <w:tcPr>
            <w:tcW w:w="1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w:t>
            </w:r>
          </w:p>
        </w:tc>
        <w:tc>
          <w:tcPr>
            <w:tcW w:w="2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472,956 </w:t>
            </w:r>
          </w:p>
        </w:tc>
        <w:tc>
          <w:tcPr>
            <w:tcW w:w="2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At December 31, 2023, cash equivalents and marketable securities consisted of the following (in thousands):</w:t>
      </w:r>
    </w:p>
    <w:tbl>
      <w:tblPr>
        <w:tblW w:w="10205" w:type="dxa"/>
        <w:jc w:val="left"/>
        <w:tblInd w:w="0" w:type="dxa"/>
        <w:tblLayout w:type="fixed"/>
        <w:tblCellMar>
          <w:top w:w="28" w:type="dxa"/>
          <w:left w:w="28" w:type="dxa"/>
          <w:bottom w:w="28" w:type="dxa"/>
          <w:right w:w="28" w:type="dxa"/>
        </w:tblCellMar>
      </w:tblPr>
      <w:tblGrid>
        <w:gridCol w:w="1108"/>
        <w:gridCol w:w="922"/>
        <w:gridCol w:w="925"/>
        <w:gridCol w:w="253"/>
        <w:gridCol w:w="994"/>
        <w:gridCol w:w="130"/>
        <w:gridCol w:w="109"/>
        <w:gridCol w:w="109"/>
        <w:gridCol w:w="109"/>
        <w:gridCol w:w="334"/>
        <w:gridCol w:w="977"/>
        <w:gridCol w:w="174"/>
        <w:gridCol w:w="109"/>
        <w:gridCol w:w="109"/>
        <w:gridCol w:w="109"/>
        <w:gridCol w:w="403"/>
        <w:gridCol w:w="923"/>
        <w:gridCol w:w="210"/>
        <w:gridCol w:w="109"/>
        <w:gridCol w:w="109"/>
        <w:gridCol w:w="109"/>
        <w:gridCol w:w="329"/>
        <w:gridCol w:w="1293"/>
        <w:gridCol w:w="249"/>
      </w:tblGrid>
      <w:tr>
        <w:trPr/>
        <w:tc>
          <w:tcPr>
            <w:tcW w:w="110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Aggregate Fair Value</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108,826 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56,115 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56,115 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debt securities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224,136 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224,587 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debt securities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110,277 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165,341 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165,651 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debt securities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665,453 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666,448 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cash and cash equivalents</w:t>
            </w:r>
          </w:p>
        </w:tc>
        <w:tc>
          <w:tcPr>
            <w:tcW w:w="2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108,826 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108,826 </w:t>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marketable securities</w:t>
            </w:r>
          </w:p>
        </w:tc>
        <w:tc>
          <w:tcPr>
            <w:tcW w:w="25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556,627 </w:t>
            </w:r>
          </w:p>
        </w:tc>
        <w:tc>
          <w:tcPr>
            <w:tcW w:w="1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1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2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557,622 </w:t>
            </w:r>
          </w:p>
        </w:tc>
        <w:tc>
          <w:tcPr>
            <w:tcW w:w="24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720"/>
        <w:jc w:val="both"/>
        <w:rPr/>
      </w:pPr>
      <w:r>
        <w:rPr/>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contractual maturities of the investments classified as marketable securities are as follows (in thousands):</w:t>
      </w:r>
    </w:p>
    <w:tbl>
      <w:tblPr>
        <w:tblW w:w="3809" w:type="dxa"/>
        <w:jc w:val="left"/>
        <w:tblInd w:w="0" w:type="dxa"/>
        <w:tblLayout w:type="fixed"/>
        <w:tblCellMar>
          <w:top w:w="28" w:type="dxa"/>
          <w:left w:w="28" w:type="dxa"/>
          <w:bottom w:w="28" w:type="dxa"/>
          <w:right w:w="28" w:type="dxa"/>
        </w:tblCellMar>
      </w:tblPr>
      <w:tblGrid>
        <w:gridCol w:w="734"/>
        <w:gridCol w:w="643"/>
        <w:gridCol w:w="648"/>
        <w:gridCol w:w="316"/>
        <w:gridCol w:w="1238"/>
        <w:gridCol w:w="230"/>
      </w:tblGrid>
      <w:tr>
        <w:trPr/>
        <w:tc>
          <w:tcPr>
            <w:tcW w:w="73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June 30, 2024</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334,821 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to two years</w:t>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138,135 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472,956 </w:t>
            </w:r>
          </w:p>
        </w:tc>
        <w:tc>
          <w:tcPr>
            <w:tcW w:w="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gross unrealized losses and fair values for those cash equivalents and marketable securities that were in an unrealized loss position as of June 30, 2024, aggregated by investment category and the length of time that individual securities have been in a continuous loss position (in thousands):</w:t>
      </w:r>
    </w:p>
    <w:tbl>
      <w:tblPr>
        <w:tblW w:w="9467" w:type="dxa"/>
        <w:jc w:val="left"/>
        <w:tblInd w:w="0" w:type="dxa"/>
        <w:tblLayout w:type="fixed"/>
        <w:tblCellMar>
          <w:top w:w="28" w:type="dxa"/>
          <w:left w:w="28" w:type="dxa"/>
          <w:bottom w:w="28" w:type="dxa"/>
          <w:right w:w="28" w:type="dxa"/>
        </w:tblCellMar>
      </w:tblPr>
      <w:tblGrid>
        <w:gridCol w:w="1201"/>
        <w:gridCol w:w="1055"/>
        <w:gridCol w:w="1059"/>
        <w:gridCol w:w="211"/>
        <w:gridCol w:w="826"/>
        <w:gridCol w:w="109"/>
        <w:gridCol w:w="109"/>
        <w:gridCol w:w="109"/>
        <w:gridCol w:w="109"/>
        <w:gridCol w:w="386"/>
        <w:gridCol w:w="883"/>
        <w:gridCol w:w="201"/>
        <w:gridCol w:w="109"/>
        <w:gridCol w:w="109"/>
        <w:gridCol w:w="109"/>
        <w:gridCol w:w="211"/>
        <w:gridCol w:w="721"/>
        <w:gridCol w:w="109"/>
        <w:gridCol w:w="109"/>
        <w:gridCol w:w="109"/>
        <w:gridCol w:w="109"/>
        <w:gridCol w:w="430"/>
        <w:gridCol w:w="768"/>
        <w:gridCol w:w="316"/>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June 30, 2024</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12 months or greater</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Unrealized Loss</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debt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do not believe the unrealized losses represent credit losses based on our evaluation of available evidence as of June 30, 2024, which includes an assessment of whether it is more likely than not we will be required to sell the investment before recovery of the investment's amortized cost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pPr>
      <w:r>
        <w:rPr>
          <w:rFonts w:ascii="Times New Roman;sans-serif" w:hAnsi="Times New Roman;sans-serif"/>
          <w:b/>
          <w:color w:val="000000"/>
          <w:sz w:val="22"/>
        </w:rPr>
        <w:t>4.</w:t>
      </w:r>
      <w:r>
        <w:rPr>
          <w:color w:val="000000"/>
        </w:rPr>
        <w:t xml:space="preserve"> </w:t>
      </w:r>
      <w:r>
        <w:rPr>
          <w:rFonts w:ascii="Times New Roman;sans-serif" w:hAnsi="Times New Roman;sans-serif"/>
          <w:b/>
          <w:color w:val="000000"/>
          <w:sz w:val="22"/>
        </w:rPr>
        <w:t xml:space="preserve">Fair Value Measurements </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determine the fair values of our financial instruments based on the fair value hierarchy, which requires an entity to maximize the use of observable inputs and minimize the use of unobservable inputs when measuring fair value. Fair value is defined as the price that would be received to sell an asset or paid to transfer a liability in an orderly transaction between market participants at the measurement date. The fair value assumes that the transaction to sell the asset or transfer the liability occurs in the principal or most advantageous market for the asset or liability and establishes that the fair value of an asset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liability shall be determined based on the assumptions that market participants would use in pricing the asset or liability. The classification of a financial asset or liability within the hierarchy is based upon the lowest level input that is significant to the fair value measurement. The fair value hierarchy prioritizes the inputs into three levels that may be used to measure fair value: </w:t>
      </w:r>
    </w:p>
    <w:p>
      <w:pPr>
        <w:pStyle w:val="TextBody"/>
        <w:bidi w:val="0"/>
        <w:spacing w:lineRule="auto" w:line="288" w:before="120" w:after="120"/>
        <w:ind w:left="0" w:right="0" w:hanging="10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Level 1 - Inputs are unadjusted quoted prices in active markets for identical assets or liabilities. </w:t>
      </w:r>
    </w:p>
    <w:p>
      <w:pPr>
        <w:pStyle w:val="TextBody"/>
        <w:bidi w:val="0"/>
        <w:spacing w:lineRule="auto" w:line="288" w:before="120" w:after="120"/>
        <w:ind w:left="0" w:right="0" w:hanging="90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Level 2 - Inputs are quoted prices for similar assets and liabilities in active markets or inputs that are observable for the asset or liability, either directly or indirectly through market corroboration, for substantially the full term of the financial instrument. </w:t>
      </w:r>
    </w:p>
    <w:p>
      <w:pPr>
        <w:pStyle w:val="TextBody"/>
        <w:bidi w:val="0"/>
        <w:spacing w:lineRule="auto" w:line="288" w:before="120" w:after="120"/>
        <w:ind w:left="0" w:right="0" w:hanging="90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Level 3 - Inputs are unobservable inputs based on our assumptions. </w:t>
      </w:r>
    </w:p>
    <w:p>
      <w:pPr>
        <w:pStyle w:val="TextBody"/>
        <w:bidi w:val="0"/>
        <w:spacing w:lineRule="auto" w:line="288" w:before="240" w:after="120"/>
        <w:jc w:val="left"/>
        <w:rPr>
          <w:rFonts w:ascii="Times New Roman;sans-serif" w:hAnsi="Times New Roman;sans-serif"/>
          <w:b/>
          <w:i/>
          <w:color w:val="000000"/>
          <w:sz w:val="22"/>
        </w:rPr>
      </w:pPr>
      <w:r>
        <w:rPr>
          <w:rFonts w:ascii="Times New Roman;sans-serif" w:hAnsi="Times New Roman;sans-serif"/>
          <w:b/>
          <w:i/>
          <w:color w:val="000000"/>
          <w:sz w:val="22"/>
        </w:rPr>
        <w:t>Financial Assets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Cash equivalents primarily consist of AAA-rated money market funds with overnight liquidity and no stated maturities. We classified cash equivalents as Level 1 due to the short-term nature of these instruments and measured the fair value based on quoted prices in active markets for identical assets. </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When available, our marketable securities are valued using quoted prices for identical instruments in active markets. If we are unable to value our marketable securities using quoted prices for identical instruments in active markets, we value our investments using broker reports that utilize quoted market prices for comparable instruments. We validate, on a sample basis, the derived prices provided by the brokers by comparing their assessment of the fair values of our investments against the fair values of the portfolio balances of another third-party professional pricing service. As of June 30, 2024, all of our marketable securities were valued using quoted prices for comparable instruments in active markets and are classified as Level 2.</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Based on our valuation of our money market funds and marketable securities, we concluded that they are classified in either Level 1 or Level 2, and we have no financial assets measured using Level 3 inputs on a recurring basis. The following table presents information about our assets that are measured at fair value on a recurring basis using the above input categories (in thousands):</w:t>
      </w:r>
    </w:p>
    <w:tbl>
      <w:tblPr>
        <w:tblW w:w="10205" w:type="dxa"/>
        <w:jc w:val="left"/>
        <w:tblInd w:w="0" w:type="dxa"/>
        <w:tblLayout w:type="fixed"/>
        <w:tblCellMar>
          <w:top w:w="28" w:type="dxa"/>
          <w:left w:w="28" w:type="dxa"/>
          <w:bottom w:w="28" w:type="dxa"/>
          <w:right w:w="28" w:type="dxa"/>
        </w:tblCellMar>
      </w:tblPr>
      <w:tblGrid>
        <w:gridCol w:w="478"/>
        <w:gridCol w:w="408"/>
        <w:gridCol w:w="4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2"/>
        <w:gridCol w:w="831"/>
        <w:gridCol w:w="109"/>
        <w:gridCol w:w="109"/>
        <w:gridCol w:w="109"/>
        <w:gridCol w:w="109"/>
        <w:gridCol w:w="212"/>
        <w:gridCol w:w="831"/>
        <w:gridCol w:w="109"/>
        <w:gridCol w:w="109"/>
        <w:gridCol w:w="109"/>
        <w:gridCol w:w="109"/>
        <w:gridCol w:w="212"/>
        <w:gridCol w:w="831"/>
        <w:gridCol w:w="163"/>
      </w:tblGrid>
      <w:tr>
        <w:trPr/>
        <w:tc>
          <w:tcPr>
            <w:tcW w:w="47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 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 as of December 31, 2023</w:t>
            </w:r>
          </w:p>
        </w:tc>
      </w:tr>
      <w:tr>
        <w:trPr/>
        <w:tc>
          <w:tcPr>
            <w:tcW w:w="12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Level 2</w:t>
            </w:r>
          </w:p>
        </w:tc>
      </w:tr>
      <w:tr>
        <w:trPr/>
        <w:tc>
          <w:tcPr>
            <w:tcW w:w="1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56,115 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224,587 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110,277 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165,651 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557,622 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i/>
          <w:color w:val="000000"/>
          <w:sz w:val="22"/>
        </w:rPr>
      </w:pPr>
      <w:r>
        <w:rPr>
          <w:rFonts w:ascii="Times New Roman;sans-serif" w:hAnsi="Times New Roman;sans-serif"/>
          <w:b/>
          <w:i/>
          <w:color w:val="000000"/>
          <w:sz w:val="22"/>
        </w:rPr>
        <w:t>Convertible Senior Notes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As of June 30, 2024, the fair value of our convertible senior notes due in 2026 and 2028 was $78.2 million and $613.8 million, respectively. The fair value was determined based on the quoted price of the convertible senior notes in an over-the-counter market on the last trading day of the reporting period and has been classified as Level 2 in the fair value hierarchy. See Note 5 to the condensed consolidated financial statements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2"/>
        </w:rPr>
      </w:pPr>
      <w:r>
        <w:rPr>
          <w:rFonts w:ascii="Times New Roman;sans-serif" w:hAnsi="Times New Roman;sans-serif"/>
          <w:b/>
          <w:color w:val="000000"/>
          <w:sz w:val="22"/>
        </w:rPr>
        <w:t>5. Convertible Senior Notes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details of our convertible senior notes, which are further discussed below (original principal in thousands):</w:t>
      </w:r>
    </w:p>
    <w:tbl>
      <w:tblPr>
        <w:tblW w:w="10205" w:type="dxa"/>
        <w:jc w:val="left"/>
        <w:tblInd w:w="0" w:type="dxa"/>
        <w:tblLayout w:type="fixed"/>
        <w:tblCellMar>
          <w:top w:w="28" w:type="dxa"/>
          <w:left w:w="28" w:type="dxa"/>
          <w:bottom w:w="28" w:type="dxa"/>
          <w:right w:w="28" w:type="dxa"/>
        </w:tblCellMar>
      </w:tblPr>
      <w:tblGrid>
        <w:gridCol w:w="205"/>
        <w:gridCol w:w="180"/>
        <w:gridCol w:w="181"/>
        <w:gridCol w:w="109"/>
        <w:gridCol w:w="109"/>
        <w:gridCol w:w="109"/>
        <w:gridCol w:w="221"/>
        <w:gridCol w:w="221"/>
        <w:gridCol w:w="223"/>
        <w:gridCol w:w="109"/>
        <w:gridCol w:w="109"/>
        <w:gridCol w:w="109"/>
        <w:gridCol w:w="275"/>
        <w:gridCol w:w="275"/>
        <w:gridCol w:w="277"/>
        <w:gridCol w:w="109"/>
        <w:gridCol w:w="109"/>
        <w:gridCol w:w="109"/>
        <w:gridCol w:w="406"/>
        <w:gridCol w:w="406"/>
        <w:gridCol w:w="407"/>
        <w:gridCol w:w="109"/>
        <w:gridCol w:w="109"/>
        <w:gridCol w:w="109"/>
        <w:gridCol w:w="358"/>
        <w:gridCol w:w="358"/>
        <w:gridCol w:w="359"/>
        <w:gridCol w:w="109"/>
        <w:gridCol w:w="109"/>
        <w:gridCol w:w="109"/>
        <w:gridCol w:w="244"/>
        <w:gridCol w:w="922"/>
        <w:gridCol w:w="137"/>
        <w:gridCol w:w="109"/>
        <w:gridCol w:w="109"/>
        <w:gridCol w:w="109"/>
        <w:gridCol w:w="383"/>
        <w:gridCol w:w="383"/>
        <w:gridCol w:w="385"/>
        <w:gridCol w:w="109"/>
        <w:gridCol w:w="109"/>
        <w:gridCol w:w="109"/>
        <w:gridCol w:w="214"/>
        <w:gridCol w:w="710"/>
        <w:gridCol w:w="186"/>
      </w:tblGrid>
      <w:tr>
        <w:trPr/>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Month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Free Convertibility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Redemption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Original Principal (including overallotment)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Initial Conversion Rate per $1,000 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Initial Conversion Price</w:t>
            </w:r>
          </w:p>
        </w:tc>
      </w:tr>
      <w:tr>
        <w:trPr/>
        <w:tc>
          <w:tcPr>
            <w:tcW w:w="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May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21,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345,000 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2028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21,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702,000 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133.89 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August 2019, we issued $345.0 million aggregate principal amount of 1.125% convertible senior notes due 2026 in a private placement to qualified institutional buyers pursuant to Rule 144A under the Securities Act of 1933, as amended, including the exercise in full by the initial purchasers of their option to purchase an additional $45.0 million principal amount (the "2026 Notes”). The 2026 Notes bear interest at a fixed rate of 1.125% per annum, payable semi-annually in arrears on February 15 and August 15 of each year, commencing on February 15, 2020. Proceeds from the issuance of the 2026 Notes totaled $335.9 million, net of initial purchaser discounts and issuance costs.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August 2023, we issued $702.0 million aggregate principal amount of 1.250% convertible senior notes due 2028 in a private placement to qualified institutional buyers pursuant to Rule 144A under the Securities Act of 1933, as amended, including the partial exercise of 77.0 million principal amount by the initial purchasers of their option to purchase up to an additional $100 million principal amount (the "2028 Notes”). The 2028 Notes bear interest at a fixed rate of 1.250% per annum, payable semi-annually in arrears on February 15 and August 15 of each year, commencing on February 15, 2024. Proceeds from the issuance of the 2028 Notes totaled $691.1 million, net of initial purchaser discounts and issuance costs.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2026 Notes and the 2028 Notes are together referred to as the "Notes".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Notes were issued pursuant to an indenture and are senior, unsecured obligations of the Company. The 2028 Notes will rank equally with all of the Company’s existing and future senior unsecured indebtedness, including the Company’s outstanding 2026 Notes.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Holders of the Notes may convert all or a portion of their Notes prior to the close of business on their respective Free Convertibility dates, in multiples of $1,000 principal amount, only under the following circumstances: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2"/>
        </w:rPr>
        <w:t xml:space="preserve">during any calendar quarter commencing after the calendar quarter in which the respective Notes were issued (and only during such calendar quarter), if the last reported sale price of our Class A common stock, par value $0.001 per share (which we refer to in this offering memorandum as our “Class A common stock”), for at least 20 trading days (whether or not consecutive) during a period of 30 consecutive trading days ending on, and including, the last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trading day of the immediately preceding calendar quarter is greater than or equal to 130% of the conversion price on each applicable trading day;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2"/>
        </w:rPr>
        <w:t>during the five consecutive business day period immediately following any ten consecutive trading day period (the “measurement period”) in which the trading price (as defined below) per $1,000 principal amount of Notes for each trading day of the measurement period was less than 98% of the product of the last reported sale price of our Class A common stock and the conversion rate on each such trading day;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2"/>
        </w:rPr>
        <w:t>if we call any or all of the Notes for redemption, at any time prior to the close of business on the scheduled trading day immediately preceding the redemption date; or</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2"/>
        </w:rPr>
        <w:t>upon the occurrence of certain specified corporate events as set forth in the relevant indenture.</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On or after the relevant Free Convertibility Date, holders of the Notes may convert their Notes at any time until the close of business on the second scheduled trading day immediately preceding the maturity date of the Notes.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Upon conversion, we will pay or deliver, as the case may be, cash, shares of our Class A common stock or a combination of cash and shares of our Class A common stock, at our election, in the manner and subject to the terms and conditions provided in the indenture.</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may redeem for cash all or any portion of the Notes, at its option, on or after the respective Redemption Date, if the last reported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to be redeemed, plus any accrued and unpaid interest to, but excluding, the respective Redemption Date.</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During the second quarter of 2024 none of the conversion conditions were met and therefore the Notes are not convertible at the option of the holders. As a result, the Notes were classified as non-current liabilities on the condensed consolidated balance sheet as of June 30, 2024.</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Interest expense representing the amortization of issuance costs as well as contractual interest expense is amortized to interest expense at an effective interest rate of 1.5% and 1.6% over the term of the 2026 Notes and 2028 Notes, respectively.</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As of June 30, 2024, the remaining life of the 2026 Notes and 2028 Notes were approximately 2.1 years and 4.2 years, respectively.</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net carrying amount of the Notes was as follows (in thousands):</w:t>
      </w:r>
    </w:p>
    <w:tbl>
      <w:tblPr>
        <w:tblW w:w="7755" w:type="dxa"/>
        <w:jc w:val="left"/>
        <w:tblInd w:w="0" w:type="dxa"/>
        <w:tblLayout w:type="fixed"/>
        <w:tblCellMar>
          <w:top w:w="28" w:type="dxa"/>
          <w:left w:w="28" w:type="dxa"/>
          <w:bottom w:w="28" w:type="dxa"/>
          <w:right w:w="28" w:type="dxa"/>
        </w:tblCellMar>
      </w:tblPr>
      <w:tblGrid>
        <w:gridCol w:w="853"/>
        <w:gridCol w:w="748"/>
        <w:gridCol w:w="754"/>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2026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2028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2026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2028 Notes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693,006 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691,924 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Interest expense related to the Notes was as follows (in thousands):</w:t>
      </w:r>
    </w:p>
    <w:tbl>
      <w:tblPr>
        <w:tblW w:w="7851" w:type="dxa"/>
        <w:jc w:val="left"/>
        <w:tblInd w:w="0" w:type="dxa"/>
        <w:tblLayout w:type="fixed"/>
        <w:tblCellMar>
          <w:top w:w="28" w:type="dxa"/>
          <w:left w:w="28" w:type="dxa"/>
          <w:bottom w:w="28" w:type="dxa"/>
          <w:right w:w="28" w:type="dxa"/>
        </w:tblCellMar>
      </w:tblPr>
      <w:tblGrid>
        <w:gridCol w:w="939"/>
        <w:gridCol w:w="825"/>
        <w:gridCol w:w="831"/>
        <w:gridCol w:w="246"/>
        <w:gridCol w:w="718"/>
        <w:gridCol w:w="127"/>
        <w:gridCol w:w="127"/>
        <w:gridCol w:w="127"/>
        <w:gridCol w:w="127"/>
        <w:gridCol w:w="246"/>
        <w:gridCol w:w="718"/>
        <w:gridCol w:w="127"/>
        <w:gridCol w:w="109"/>
        <w:gridCol w:w="109"/>
        <w:gridCol w:w="109"/>
        <w:gridCol w:w="222"/>
        <w:gridCol w:w="650"/>
        <w:gridCol w:w="115"/>
        <w:gridCol w:w="115"/>
        <w:gridCol w:w="115"/>
        <w:gridCol w:w="115"/>
        <w:gridCol w:w="222"/>
        <w:gridCol w:w="650"/>
        <w:gridCol w:w="162"/>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issuance costs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6,005 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2"/>
        </w:rPr>
      </w:pPr>
      <w:r>
        <w:rPr>
          <w:rFonts w:ascii="Times New Roman;sans-serif" w:hAnsi="Times New Roman;sans-serif"/>
          <w:b/>
          <w:color w:val="000000"/>
          <w:sz w:val="22"/>
        </w:rPr>
        <w:t xml:space="preserve">6. Commitments and Contingencies </w:t>
      </w:r>
    </w:p>
    <w:p>
      <w:pPr>
        <w:pStyle w:val="TextBody"/>
        <w:bidi w:val="0"/>
        <w:spacing w:lineRule="auto" w:line="288" w:before="120" w:after="120"/>
        <w:jc w:val="left"/>
        <w:rPr>
          <w:rFonts w:ascii="Times New Roman;sans-serif" w:hAnsi="Times New Roman;sans-serif"/>
          <w:b/>
          <w:i/>
          <w:color w:val="000000"/>
          <w:sz w:val="22"/>
        </w:rPr>
      </w:pPr>
      <w:r>
        <w:rPr>
          <w:rFonts w:ascii="Times New Roman;sans-serif" w:hAnsi="Times New Roman;sans-serif"/>
          <w:b/>
          <w:i/>
          <w:color w:val="000000"/>
          <w:sz w:val="22"/>
        </w:rPr>
        <w:t>Litigation</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From time to time we may become involved in legal proceedings or be subject to claims arising in the ordinary course of our business. We evaluate the development of legal matters on a regular basis and accrue a liability when we believe a loss is probable and the amount can be reasonably estimated. Although the results of litigation and claims cannot be predicted with certainty, we currently believe that the final outcome of any currently pending legal proceedings to which we are a party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2"/>
        </w:rPr>
      </w:pPr>
      <w:r>
        <w:rPr>
          <w:rFonts w:ascii="Times New Roman;sans-serif" w:hAnsi="Times New Roman;sans-serif"/>
          <w:b/>
          <w:color w:val="000000"/>
          <w:sz w:val="22"/>
        </w:rPr>
        <w:t xml:space="preserve">7. Stock-Based Compensation </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grant stock-based incentive awards to attract, motivate and retain qualified employees, non-employee directors and consultants, and to align their financial interests with those of our stockholders. We utilize stock-based compensation in the form of restricted stock units, performance restricted stock units, options to purchase Class A common stock and Employee Stock Purchase Plan ("ESPP") purchase rights. Prior to our corporate conversion in December 2014, awards were provided under the 2009 Unit Incentive Plan (“the 2009 Plan”). The 2009 Plan was amended to provide that no further awards will be issued thereunder, and our board of directors and stockholders adopted and approved our 2014 Equity Incentive Plan (“the 2014 Plan” and, together with the 2009 Plan, “the Plans”).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On May 30, 2024, stockholders approved an amendment to the 2014 Plan that increased the number of shares available for grant by 3,900,000. As of June 30, 2024, 5,212,217 shares of Class A common stock were available for grant under the 2014 Plan.</w:t>
      </w:r>
    </w:p>
    <w:p>
      <w:pPr>
        <w:pStyle w:val="TextBody"/>
        <w:bidi w:val="0"/>
        <w:spacing w:lineRule="auto" w:line="288" w:before="120" w:after="120"/>
        <w:jc w:val="both"/>
        <w:rPr>
          <w:rFonts w:ascii="Times New Roman;sans-serif" w:hAnsi="Times New Roman;sans-serif"/>
          <w:b/>
          <w:i/>
          <w:color w:val="000000"/>
          <w:sz w:val="22"/>
        </w:rPr>
      </w:pPr>
      <w:r>
        <w:rPr>
          <w:rFonts w:ascii="Times New Roman;sans-serif" w:hAnsi="Times New Roman;sans-serif"/>
          <w:b/>
          <w:i/>
          <w:color w:val="000000"/>
          <w:sz w:val="22"/>
        </w:rPr>
        <w:t>Stock-Based Compensation Expense</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Stock-based compensation expense was recorded in the following cost and expense categories consistent with the respective employee or service provider’s related cash compensation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tbl>
      <w:tblPr>
        <w:tblW w:w="7653" w:type="dxa"/>
        <w:jc w:val="left"/>
        <w:tblInd w:w="0" w:type="dxa"/>
        <w:tblLayout w:type="fixed"/>
        <w:tblCellMar>
          <w:top w:w="28" w:type="dxa"/>
          <w:left w:w="28" w:type="dxa"/>
          <w:bottom w:w="28" w:type="dxa"/>
          <w:right w:w="28" w:type="dxa"/>
        </w:tblCellMar>
      </w:tblPr>
      <w:tblGrid>
        <w:gridCol w:w="835"/>
        <w:gridCol w:w="736"/>
        <w:gridCol w:w="739"/>
        <w:gridCol w:w="224"/>
        <w:gridCol w:w="767"/>
        <w:gridCol w:w="116"/>
        <w:gridCol w:w="116"/>
        <w:gridCol w:w="116"/>
        <w:gridCol w:w="116"/>
        <w:gridCol w:w="224"/>
        <w:gridCol w:w="767"/>
        <w:gridCol w:w="116"/>
        <w:gridCol w:w="109"/>
        <w:gridCol w:w="109"/>
        <w:gridCol w:w="109"/>
        <w:gridCol w:w="211"/>
        <w:gridCol w:w="721"/>
        <w:gridCol w:w="109"/>
        <w:gridCol w:w="109"/>
        <w:gridCol w:w="109"/>
        <w:gridCol w:w="109"/>
        <w:gridCol w:w="211"/>
        <w:gridCol w:w="721"/>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i/>
          <w:color w:val="000000"/>
          <w:sz w:val="22"/>
        </w:rPr>
      </w:pPr>
      <w:r>
        <w:rPr>
          <w:rFonts w:ascii="Times New Roman;sans-serif" w:hAnsi="Times New Roman;sans-serif"/>
          <w:b/>
          <w:i/>
          <w:color w:val="000000"/>
          <w:sz w:val="22"/>
        </w:rPr>
        <w:t>Stock Options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summarizes the option activity under the Plans for the six months ended June 30, 2024: </w:t>
      </w:r>
    </w:p>
    <w:tbl>
      <w:tblPr>
        <w:tblW w:w="7308" w:type="dxa"/>
        <w:jc w:val="left"/>
        <w:tblInd w:w="0" w:type="dxa"/>
        <w:tblLayout w:type="fixed"/>
        <w:tblCellMar>
          <w:top w:w="28" w:type="dxa"/>
          <w:left w:w="28" w:type="dxa"/>
          <w:bottom w:w="28" w:type="dxa"/>
          <w:right w:w="28" w:type="dxa"/>
        </w:tblCellMar>
      </w:tblPr>
      <w:tblGrid>
        <w:gridCol w:w="1065"/>
        <w:gridCol w:w="935"/>
        <w:gridCol w:w="940"/>
        <w:gridCol w:w="488"/>
        <w:gridCol w:w="488"/>
        <w:gridCol w:w="256"/>
        <w:gridCol w:w="109"/>
        <w:gridCol w:w="109"/>
        <w:gridCol w:w="109"/>
        <w:gridCol w:w="220"/>
        <w:gridCol w:w="642"/>
        <w:gridCol w:w="113"/>
        <w:gridCol w:w="109"/>
        <w:gridCol w:w="109"/>
        <w:gridCol w:w="109"/>
        <w:gridCol w:w="414"/>
        <w:gridCol w:w="414"/>
        <w:gridCol w:w="416"/>
        <w:gridCol w:w="109"/>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Exercise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Remaining</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Contractual</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Term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1,211,619 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June 30, 2024</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1,174,354 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June 30, 2024</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1,174,354 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i/>
          <w:color w:val="000000"/>
          <w:sz w:val="22"/>
        </w:rPr>
      </w:pPr>
      <w:r>
        <w:rPr>
          <w:rFonts w:ascii="Times New Roman;sans-serif" w:hAnsi="Times New Roman;sans-serif"/>
          <w:b/>
          <w:i/>
          <w:color w:val="000000"/>
          <w:sz w:val="22"/>
        </w:rPr>
        <w:t>Restricted Stock Units and Performance Restricted Stock Units</w:t>
      </w:r>
    </w:p>
    <w:p>
      <w:pPr>
        <w:pStyle w:val="TextBody"/>
        <w:bidi w:val="0"/>
        <w:spacing w:lineRule="auto" w:line="288" w:before="12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restricted stock unit and performance restricted stock unit activity under the Plans for the six months ended June 30, 2024:</w:t>
      </w:r>
    </w:p>
    <w:tbl>
      <w:tblPr>
        <w:tblW w:w="6700" w:type="dxa"/>
        <w:jc w:val="left"/>
        <w:tblInd w:w="0" w:type="dxa"/>
        <w:tblLayout w:type="fixed"/>
        <w:tblCellMar>
          <w:top w:w="28" w:type="dxa"/>
          <w:left w:w="28" w:type="dxa"/>
          <w:bottom w:w="28" w:type="dxa"/>
          <w:right w:w="28" w:type="dxa"/>
        </w:tblCellMar>
      </w:tblPr>
      <w:tblGrid>
        <w:gridCol w:w="977"/>
        <w:gridCol w:w="858"/>
        <w:gridCol w:w="864"/>
        <w:gridCol w:w="539"/>
        <w:gridCol w:w="539"/>
        <w:gridCol w:w="541"/>
        <w:gridCol w:w="109"/>
        <w:gridCol w:w="109"/>
        <w:gridCol w:w="109"/>
        <w:gridCol w:w="442"/>
        <w:gridCol w:w="1291"/>
        <w:gridCol w:w="322"/>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Grant Date Fair Value</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2023</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2,198,411 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97.17 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1,115,127 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92.39 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(102,589)</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96.39 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Vested</w:t>
            </w:r>
            <w:r>
              <w:rPr>
                <w:rFonts w:ascii="Times New Roman;sans-serif" w:hAnsi="Times New Roman;sans-serif"/>
                <w:b w:val="false"/>
                <w:color w:val="000000"/>
                <w:sz w:val="13"/>
              </w:rPr>
              <w:t>(1)</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(705,626)</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94.17 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June 30, 2024</w:t>
            </w:r>
          </w:p>
        </w:tc>
        <w:tc>
          <w:tcPr>
            <w:tcW w:w="10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2,505,323 </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95.97 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18"/>
        </w:rPr>
      </w:pPr>
      <w:r>
        <w:rPr>
          <w:rFonts w:ascii="Times New Roman;sans-serif" w:hAnsi="Times New Roman;sans-serif"/>
          <w:b w:val="false"/>
          <w:color w:val="000000"/>
          <w:sz w:val="18"/>
        </w:rPr>
        <w:t>(1) During the six months ended June 30, 2024, in accordance with our Nonqualified Deferred Compensation Plan, recipients of 3,325 shares elected to defer settlement of their vested restricted stock units and 18,919 shares were released from deferral.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i/>
          <w:color w:val="000000"/>
          <w:sz w:val="22"/>
        </w:rPr>
      </w:pPr>
      <w:r>
        <w:rPr>
          <w:rFonts w:ascii="Times New Roman;sans-serif" w:hAnsi="Times New Roman;sans-serif"/>
          <w:b/>
          <w:i/>
          <w:color w:val="000000"/>
          <w:sz w:val="22"/>
        </w:rPr>
        <w:t>Employee Stock Purchase Plan</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During the six months ended June 30, 2024, 88,047 shares of common stock were purchased under the ESPP at a weighted-average price of $80.79 per share, resulting in cash proceeds of $7.1 million. </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Compensation expense associated with ESPP purchase rights is recognized on a straight-line basis over the vesting period. At June 30, 2024, there was approximately $0.2 million of total unrecognized compensation expense related to the ESPP, which is expected to be recognized over a weighted-average period of 12 days.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2"/>
        </w:rPr>
      </w:pPr>
      <w:r>
        <w:rPr>
          <w:rFonts w:ascii="Times New Roman;sans-serif" w:hAnsi="Times New Roman;sans-serif"/>
          <w:b/>
          <w:color w:val="000000"/>
          <w:sz w:val="22"/>
        </w:rPr>
        <w:t>8. Revenue Recognition</w:t>
      </w:r>
    </w:p>
    <w:p>
      <w:pPr>
        <w:pStyle w:val="TextBody"/>
        <w:bidi w:val="0"/>
        <w:spacing w:lineRule="auto" w:line="288" w:before="120" w:after="120"/>
        <w:jc w:val="left"/>
        <w:rPr>
          <w:rFonts w:ascii="Times New Roman;sans-serif" w:hAnsi="Times New Roman;sans-serif"/>
          <w:b/>
          <w:i/>
          <w:color w:val="000000"/>
          <w:sz w:val="22"/>
        </w:rPr>
      </w:pPr>
      <w:r>
        <w:rPr>
          <w:rFonts w:ascii="Times New Roman;sans-serif" w:hAnsi="Times New Roman;sans-serif"/>
          <w:b/>
          <w:i/>
          <w:color w:val="000000"/>
          <w:sz w:val="22"/>
        </w:rPr>
        <w:t>Disaggregation of Revenue</w:t>
      </w:r>
    </w:p>
    <w:p>
      <w:pPr>
        <w:pStyle w:val="TextBody"/>
        <w:bidi w:val="0"/>
        <w:spacing w:lineRule="auto" w:line="288" w:before="24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our revenues disaggregated by type of good or service (in thousands):</w:t>
      </w:r>
    </w:p>
    <w:tbl>
      <w:tblPr>
        <w:tblW w:w="7979" w:type="dxa"/>
        <w:jc w:val="left"/>
        <w:tblInd w:w="0" w:type="dxa"/>
        <w:tblLayout w:type="fixed"/>
        <w:tblCellMar>
          <w:top w:w="28" w:type="dxa"/>
          <w:left w:w="28" w:type="dxa"/>
          <w:bottom w:w="28" w:type="dxa"/>
          <w:right w:w="28" w:type="dxa"/>
        </w:tblCellMar>
      </w:tblPr>
      <w:tblGrid>
        <w:gridCol w:w="859"/>
        <w:gridCol w:w="754"/>
        <w:gridCol w:w="75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20"/>
        <w:jc w:val="left"/>
        <w:rPr>
          <w:rFonts w:ascii="Times New Roman;sans-serif" w:hAnsi="Times New Roman;sans-serif"/>
          <w:b/>
          <w:i/>
          <w:color w:val="000000"/>
          <w:sz w:val="22"/>
        </w:rPr>
      </w:pPr>
      <w:r>
        <w:rPr>
          <w:rFonts w:ascii="Times New Roman;sans-serif" w:hAnsi="Times New Roman;sans-serif"/>
          <w:b/>
          <w:i/>
          <w:color w:val="000000"/>
          <w:sz w:val="22"/>
        </w:rPr>
        <w:t>Deferred Revenue</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recognized $145.2 million and $122.5 million of revenue during the three months ended June 30, 2024 and 2023, respectively, that was included in the deferred revenue balances at the beginning of the respective periods. We recognized $254.5 million and $212.6 million of revenue during the six months ended June 30, 2024 and 2023, respectively, that was included in the deferred revenue balances at the beginning of the respective periods.</w:t>
      </w:r>
    </w:p>
    <w:p>
      <w:pPr>
        <w:pStyle w:val="TextBody"/>
        <w:bidi w:val="0"/>
        <w:spacing w:lineRule="auto" w:line="288" w:before="240" w:after="120"/>
        <w:jc w:val="left"/>
        <w:rPr>
          <w:rFonts w:ascii="Times New Roman;sans-serif" w:hAnsi="Times New Roman;sans-serif"/>
          <w:b/>
          <w:i/>
          <w:color w:val="000000"/>
          <w:sz w:val="22"/>
        </w:rPr>
      </w:pPr>
      <w:r>
        <w:rPr>
          <w:rFonts w:ascii="Times New Roman;sans-serif" w:hAnsi="Times New Roman;sans-serif"/>
          <w:b/>
          <w:i/>
          <w:color w:val="000000"/>
          <w:sz w:val="22"/>
        </w:rPr>
        <w:t>Transaction Price Allocated to the Remaining Performance Obligations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June 30, 2024, we expect revenue of approximately $994.6 million to be recognized from remaining performance obligations for subscription contracts. We expect to recognize approximately $543.7 million of these remaining performance obligations over the next 12 months with the balance substantially recognized in the 24 months thereafter.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9. Intangible Assets and Goodwill</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the components of net intangible assets (in thousands):</w:t>
      </w:r>
    </w:p>
    <w:tbl>
      <w:tblPr>
        <w:tblW w:w="10205" w:type="dxa"/>
        <w:jc w:val="left"/>
        <w:tblInd w:w="0" w:type="dxa"/>
        <w:tblLayout w:type="fixed"/>
        <w:tblCellMar>
          <w:top w:w="28" w:type="dxa"/>
          <w:left w:w="28" w:type="dxa"/>
          <w:bottom w:w="28" w:type="dxa"/>
          <w:right w:w="28" w:type="dxa"/>
        </w:tblCellMar>
      </w:tblPr>
      <w:tblGrid>
        <w:gridCol w:w="581"/>
        <w:gridCol w:w="422"/>
        <w:gridCol w:w="288"/>
        <w:gridCol w:w="280"/>
        <w:gridCol w:w="280"/>
        <w:gridCol w:w="281"/>
        <w:gridCol w:w="109"/>
        <w:gridCol w:w="109"/>
        <w:gridCol w:w="109"/>
        <w:gridCol w:w="196"/>
        <w:gridCol w:w="646"/>
        <w:gridCol w:w="109"/>
        <w:gridCol w:w="109"/>
        <w:gridCol w:w="109"/>
        <w:gridCol w:w="109"/>
        <w:gridCol w:w="228"/>
        <w:gridCol w:w="770"/>
        <w:gridCol w:w="128"/>
        <w:gridCol w:w="109"/>
        <w:gridCol w:w="109"/>
        <w:gridCol w:w="109"/>
        <w:gridCol w:w="196"/>
        <w:gridCol w:w="646"/>
        <w:gridCol w:w="109"/>
        <w:gridCol w:w="109"/>
        <w:gridCol w:w="109"/>
        <w:gridCol w:w="109"/>
        <w:gridCol w:w="196"/>
        <w:gridCol w:w="646"/>
        <w:gridCol w:w="109"/>
        <w:gridCol w:w="109"/>
        <w:gridCol w:w="109"/>
        <w:gridCol w:w="109"/>
        <w:gridCol w:w="228"/>
        <w:gridCol w:w="770"/>
        <w:gridCol w:w="128"/>
        <w:gridCol w:w="109"/>
        <w:gridCol w:w="109"/>
        <w:gridCol w:w="109"/>
        <w:gridCol w:w="196"/>
        <w:gridCol w:w="646"/>
        <w:gridCol w:w="164"/>
      </w:tblGrid>
      <w:tr>
        <w:trPr/>
        <w:tc>
          <w:tcPr>
            <w:tcW w:w="58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Useful 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 Amount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Acquired technology</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(9,233)</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Acquired customer-related</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Acquired trade names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(16,421)</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(13,806)</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22,892 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pPr>
      <w:r>
        <w:rPr>
          <w:rFonts w:ascii="Times New Roman;sans-serif" w:hAnsi="Times New Roman;sans-serif"/>
          <w:b w:val="false"/>
          <w:color w:val="000000"/>
          <w:sz w:val="22"/>
        </w:rPr>
        <w:t>Amortization expense related to intangible assets was $1.4 million and $1.5 million</w:t>
      </w:r>
      <w:r>
        <w:rPr>
          <w:color w:val="000000"/>
        </w:rPr>
        <w:t xml:space="preserve"> </w:t>
      </w:r>
      <w:r>
        <w:rPr>
          <w:rFonts w:ascii="Times New Roman;sans-serif" w:hAnsi="Times New Roman;sans-serif"/>
          <w:b w:val="false"/>
          <w:color w:val="000000"/>
          <w:sz w:val="22"/>
        </w:rPr>
        <w:t>for the three months ended June 30, 2024 and 2023, respectively, and $2.8 million</w:t>
      </w:r>
      <w:r>
        <w:rPr>
          <w:color w:val="000000"/>
        </w:rPr>
        <w:t xml:space="preserve"> </w:t>
      </w:r>
      <w:r>
        <w:rPr>
          <w:rFonts w:ascii="Times New Roman;sans-serif" w:hAnsi="Times New Roman;sans-serif"/>
          <w:b w:val="false"/>
          <w:color w:val="000000"/>
          <w:sz w:val="22"/>
        </w:rPr>
        <w:t>and</w:t>
      </w:r>
      <w:r>
        <w:rPr>
          <w:color w:val="000000"/>
        </w:rPr>
        <w:t xml:space="preserve"> </w:t>
      </w:r>
      <w:r>
        <w:rPr>
          <w:rFonts w:ascii="Times New Roman;sans-serif" w:hAnsi="Times New Roman;sans-serif"/>
          <w:b w:val="false"/>
          <w:color w:val="000000"/>
          <w:sz w:val="22"/>
        </w:rPr>
        <w:t>$3.1 million</w:t>
      </w:r>
      <w:r>
        <w:rPr>
          <w:color w:val="000000"/>
        </w:rPr>
        <w:t xml:space="preserve"> </w:t>
      </w:r>
      <w:r>
        <w:rPr>
          <w:rFonts w:ascii="Times New Roman;sans-serif" w:hAnsi="Times New Roman;sans-serif"/>
          <w:b w:val="false"/>
          <w:color w:val="000000"/>
          <w:sz w:val="22"/>
        </w:rPr>
        <w:t>for the six months ended June 30, 2024 and 2023, respectively.</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As of June 30, 2024, expected remaining amortization expense of intangible assets by fiscal year is as follows (in thousands):</w:t>
      </w:r>
    </w:p>
    <w:tbl>
      <w:tblPr>
        <w:tblW w:w="4206" w:type="dxa"/>
        <w:jc w:val="left"/>
        <w:tblInd w:w="0" w:type="dxa"/>
        <w:tblLayout w:type="fixed"/>
        <w:tblCellMar>
          <w:top w:w="28" w:type="dxa"/>
          <w:left w:w="28" w:type="dxa"/>
          <w:bottom w:w="28" w:type="dxa"/>
          <w:right w:w="28" w:type="dxa"/>
        </w:tblCellMar>
      </w:tblPr>
      <w:tblGrid>
        <w:gridCol w:w="1129"/>
        <w:gridCol w:w="992"/>
        <w:gridCol w:w="999"/>
        <w:gridCol w:w="211"/>
        <w:gridCol w:w="721"/>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expected amortization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changes in the carrying amount of goodwill were as follows (in thousands):</w:t>
      </w:r>
    </w:p>
    <w:tbl>
      <w:tblPr>
        <w:tblW w:w="4626" w:type="dxa"/>
        <w:jc w:val="left"/>
        <w:tblInd w:w="0" w:type="dxa"/>
        <w:tblLayout w:type="fixed"/>
        <w:tblCellMar>
          <w:top w:w="28" w:type="dxa"/>
          <w:left w:w="28" w:type="dxa"/>
          <w:bottom w:w="28" w:type="dxa"/>
          <w:right w:w="28" w:type="dxa"/>
        </w:tblCellMar>
      </w:tblPr>
      <w:tblGrid>
        <w:gridCol w:w="1243"/>
        <w:gridCol w:w="1093"/>
        <w:gridCol w:w="1099"/>
        <w:gridCol w:w="211"/>
        <w:gridCol w:w="826"/>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2"/>
        </w:rPr>
      </w:pPr>
      <w:r>
        <w:rPr>
          <w:rFonts w:ascii="Times New Roman;sans-serif" w:hAnsi="Times New Roman;sans-serif"/>
          <w:b/>
          <w:color w:val="000000"/>
          <w:sz w:val="22"/>
        </w:rPr>
        <w:t>10. Net Loss Per Share</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Net loss per share is allocated based on the contractual participation rights of the Class A and Class B common shares as if the loss for the year has been distributed. As the liquidation and dividend rights are identical, the net loss is allocated on a proportionate basis.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reconciliation of the denominator used in the calculation of basic and diluted loss per share is as follows (in thousands, except share and per share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671"/>
        <w:gridCol w:w="1470"/>
        <w:gridCol w:w="1487"/>
        <w:gridCol w:w="240"/>
        <w:gridCol w:w="841"/>
        <w:gridCol w:w="109"/>
        <w:gridCol w:w="109"/>
        <w:gridCol w:w="109"/>
        <w:gridCol w:w="109"/>
        <w:gridCol w:w="244"/>
        <w:gridCol w:w="732"/>
        <w:gridCol w:w="109"/>
        <w:gridCol w:w="109"/>
        <w:gridCol w:w="109"/>
        <w:gridCol w:w="109"/>
        <w:gridCol w:w="240"/>
        <w:gridCol w:w="841"/>
        <w:gridCol w:w="109"/>
        <w:gridCol w:w="109"/>
        <w:gridCol w:w="109"/>
        <w:gridCol w:w="109"/>
        <w:gridCol w:w="244"/>
        <w:gridCol w:w="732"/>
        <w:gridCol w:w="155"/>
      </w:tblGrid>
      <w:tr>
        <w:trPr/>
        <w:tc>
          <w:tcPr>
            <w:tcW w:w="1671"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4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r>
      <w:tr>
        <w:trPr/>
        <w:tc>
          <w:tcPr>
            <w:tcW w:w="4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Class B</w:t>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Denominator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 basic and 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51,331,579 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50,164,380 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3,845,583 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71"/>
        <w:gridCol w:w="1470"/>
        <w:gridCol w:w="1487"/>
        <w:gridCol w:w="240"/>
        <w:gridCol w:w="841"/>
        <w:gridCol w:w="109"/>
        <w:gridCol w:w="109"/>
        <w:gridCol w:w="109"/>
        <w:gridCol w:w="109"/>
        <w:gridCol w:w="244"/>
        <w:gridCol w:w="732"/>
        <w:gridCol w:w="109"/>
        <w:gridCol w:w="109"/>
        <w:gridCol w:w="109"/>
        <w:gridCol w:w="109"/>
        <w:gridCol w:w="240"/>
        <w:gridCol w:w="841"/>
        <w:gridCol w:w="109"/>
        <w:gridCol w:w="109"/>
        <w:gridCol w:w="109"/>
        <w:gridCol w:w="109"/>
        <w:gridCol w:w="244"/>
        <w:gridCol w:w="732"/>
        <w:gridCol w:w="155"/>
      </w:tblGrid>
      <w:tr>
        <w:trPr/>
        <w:tc>
          <w:tcPr>
            <w:tcW w:w="1671"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4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r>
      <w:tr>
        <w:trPr/>
        <w:tc>
          <w:tcPr>
            <w:tcW w:w="4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B</w:t>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Denominator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 basic and 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51,200,924 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49,990,734 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3,860,252 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anti-dilutive securities excluded from the weighted-average shares used to calculate the diluted net loss per common share were as follows:</w:t>
      </w:r>
    </w:p>
    <w:tbl>
      <w:tblPr>
        <w:tblW w:w="10205" w:type="dxa"/>
        <w:jc w:val="left"/>
        <w:tblInd w:w="0" w:type="dxa"/>
        <w:tblLayout w:type="fixed"/>
        <w:tblCellMar>
          <w:top w:w="28" w:type="dxa"/>
          <w:left w:w="28" w:type="dxa"/>
          <w:bottom w:w="28" w:type="dxa"/>
          <w:right w:w="28" w:type="dxa"/>
        </w:tblCellMar>
      </w:tblPr>
      <w:tblGrid>
        <w:gridCol w:w="2523"/>
        <w:gridCol w:w="2216"/>
        <w:gridCol w:w="2222"/>
        <w:gridCol w:w="488"/>
        <w:gridCol w:w="488"/>
        <w:gridCol w:w="419"/>
        <w:gridCol w:w="109"/>
        <w:gridCol w:w="109"/>
        <w:gridCol w:w="109"/>
        <w:gridCol w:w="488"/>
        <w:gridCol w:w="488"/>
        <w:gridCol w:w="546"/>
      </w:tblGrid>
      <w:tr>
        <w:trPr/>
        <w:tc>
          <w:tcPr>
            <w:tcW w:w="2523"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6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subject to outstanding common stock options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1,174,354 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1,359,116 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subject to unvested restricted stock units and performance restricted stock units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2,505,323 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2,261,742 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pursuant to the ESPP</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96,271 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96,892 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Shares underlying our convertible senior notes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6,132,025 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4,304,082 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2"/>
        </w:rPr>
      </w:pPr>
      <w:r>
        <w:rPr>
          <w:rFonts w:ascii="Times New Roman;sans-serif" w:hAnsi="Times New Roman;sans-serif"/>
          <w:b/>
          <w:color w:val="000000"/>
          <w:sz w:val="22"/>
        </w:rPr>
        <w:t>11. Acquisitions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On June 17, 2024, we acquired all of the issued and outstanding equity interests in Sustain.Life, Inc. (“Sustain.Life”), a leading provider of carbon accounting solutions to launch Workiva Carbon, for $98.3 million net of cash acquired of $0.3 million. Workiva Carbon is an audit-ready carbon accounting solution that helps organizations measure, manage, track, and report carbon emissions, including data from third-party supply chain partners. Coupled with Workiva's ESG reporting solution, companies can now collect key business data, calculate critical metrics, set data-driven ESG strategy, measure progress, and report results all in the Workiva platform.</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transaction was accounted for as a business combination. The purchase price has been preliminarily allocated to the assets acquired and liabilities assumed based on their estimated fair values at the date of acquisition. The fair values of goodwill and definite-lived intangible assets acquired in the acquisition were externally estimated primarily based on the replacement cost approach. The fair values of assets acquired and liabilities assumed may change over the measurement period as additional information is received. The primary area subject to change includes our review of the valuation of intangible assets. We expect to finalize the valuation as soon as practicable, but not later than one year from the acquisition date. The excess of the purchase price over the fair value of the net assets acquired was allocated to goodwill. The goodwill recognized was primarily attributable to the assembled workforce, operational synergies, and strategic benefits that are expected to be achieved and is not deductible for income tax purposes.</w:t>
      </w:r>
    </w:p>
    <w:p>
      <w:pPr>
        <w:pStyle w:val="TextBody"/>
        <w:bidi w:val="0"/>
        <w:spacing w:lineRule="auto" w:line="268" w:before="120" w:after="120"/>
        <w:ind w:left="0" w:right="0" w:firstLine="720"/>
        <w:jc w:val="both"/>
        <w:rPr/>
      </w:pPr>
      <w:r>
        <w:rPr>
          <w:rFonts w:ascii="Times New Roman;sans-serif" w:hAnsi="Times New Roman;sans-serif"/>
          <w:b w:val="false"/>
          <w:color w:val="000000"/>
          <w:sz w:val="22"/>
        </w:rPr>
        <w:t>The following table presents a preliminary allocation of the purchase price to the assets acquired and liabilities assumed at the date of acquisition (in thousands)</w:t>
      </w:r>
      <w:r>
        <w:rPr>
          <w:rFonts w:ascii="Calibri;sans-serif" w:hAnsi="Calibri;sans-serif"/>
          <w:b w:val="false"/>
          <w:color w:val="000000"/>
          <w:sz w:val="24"/>
        </w:rPr>
        <w:t>:</w:t>
      </w:r>
    </w:p>
    <w:tbl>
      <w:tblPr>
        <w:tblW w:w="3906" w:type="dxa"/>
        <w:jc w:val="left"/>
        <w:tblInd w:w="0" w:type="dxa"/>
        <w:tblLayout w:type="fixed"/>
        <w:tblCellMar>
          <w:top w:w="28" w:type="dxa"/>
          <w:left w:w="28" w:type="dxa"/>
          <w:bottom w:w="28" w:type="dxa"/>
          <w:right w:w="28" w:type="dxa"/>
        </w:tblCellMar>
      </w:tblPr>
      <w:tblGrid>
        <w:gridCol w:w="1023"/>
        <w:gridCol w:w="898"/>
        <w:gridCol w:w="899"/>
        <w:gridCol w:w="211"/>
        <w:gridCol w:w="721"/>
        <w:gridCol w:w="154"/>
      </w:tblGrid>
      <w:tr>
        <w:trPr/>
        <w:tc>
          <w:tcPr>
            <w:tcW w:w="102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assets and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incurred costs related to the acquisition of approximately $1.1 million during the three months ended June 30, 2024. All acquisition related costs were expensed as incurred and have been recorded in general and administrative expenses in our condensed consolidated statements of operations.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amount of revenues and net loss from the acquisition included in our condensed consolidated statements of operations for the three and six months ended June 30, 2024 were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2"/>
        </w:rPr>
      </w:pPr>
      <w:r>
        <w:rPr>
          <w:rFonts w:ascii="Times New Roman;sans-serif" w:hAnsi="Times New Roman;sans-serif"/>
          <w:b/>
          <w:color w:val="000000"/>
          <w:sz w:val="22"/>
        </w:rPr>
        <w:t>12. Subsequent Events</w:t>
      </w:r>
    </w:p>
    <w:p>
      <w:pPr>
        <w:pStyle w:val="TextBody"/>
        <w:bidi w:val="0"/>
        <w:spacing w:lineRule="auto" w:line="26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On July 30, 2024, our board of directors authorized a share repurchase program to repurchase up to $100.0 million of the Company’s outstanding Class A common stock. Under this new program, the Company may purchase its Class A common stock from time to time in the open market or through privately negotiated transactions, pursuant to Rule 10b5-1 trading plans or other available means, each in compliance with Rule 10b-18 under the Exchange Act. The timing, manner, price, and amount of the repurchase will be subject to the discretion of the Company’s management. The repurchase program does not obligate the Company to acquire any particular amount of Class A common stock, and it may be suspended or discontinued at any time.</w:t>
      </w:r>
    </w:p>
    <w:p>
      <w:pPr>
        <w:pStyle w:val="TextBody"/>
        <w:bidi w:val="0"/>
        <w:spacing w:before="12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120"/>
        <w:jc w:val="left"/>
        <w:rPr>
          <w:rFonts w:ascii="Times New Roman;sans-serif" w:hAnsi="Times New Roman;sans-serif"/>
          <w:b/>
          <w:color w:val="000000"/>
          <w:sz w:val="22"/>
        </w:rPr>
      </w:pPr>
      <w:r>
        <w:rPr>
          <w:rFonts w:ascii="Times New Roman;sans-serif" w:hAnsi="Times New Roman;sans-serif"/>
          <w:b/>
          <w:color w:val="000000"/>
          <w:sz w:val="22"/>
        </w:rPr>
        <w:t>Item 2.    Management’s Discussion and Analysis of Financial Condition and Results of Operations</w:t>
      </w:r>
    </w:p>
    <w:p>
      <w:pPr>
        <w:pStyle w:val="TextBody"/>
        <w:bidi w:val="0"/>
        <w:spacing w:lineRule="auto" w:line="288" w:before="120" w:after="12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our operations should be read in conjunction with the condensed consolidated financial statements and related notes included elsewhere in this report and in our Annual Report on Form 10-K filed with the Securities and Exchange Commission on February 20, 2024. In addition to historical consolidated financial information, this discussion contains forward-looking statements that involve risks and uncertainties. Our actual results could differ materially from those discussed below. Factors that could cause or contribute to these differences include, but are not limited to, those identified below, and those discussed in “Item 1A. Risk Factors” of our Annual Report on Form 10-K for the year ended December 31, 2023, in “Item 1A. Risk Factors” in Part II of this Quarterly Report on Form 10-Q and in any subsequent filing we make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2"/>
        </w:rPr>
      </w:pPr>
      <w:r>
        <w:rPr>
          <w:rFonts w:ascii="Times New Roman;sans-serif" w:hAnsi="Times New Roman;sans-serif"/>
          <w:b/>
          <w:color w:val="000000"/>
          <w:sz w:val="22"/>
        </w:rPr>
        <w:t>Overview</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Workiva’s mission is to power transparent reporting for a better world. We believe that all stakeholders, including consumers, employees, shareholders, and regulators, expect more from business – more action, transparency, and disclosure of financial and non-financial information. We build solutions to meet that demand and streamline processes, connect data and teams, and ensure consistency – all within the Workiva platform, the world’s leading cloud platform for assured integrated reporting. Additionally, we offer the only unified software-as-a-service (“SaaS”) platform that brings customers’ financial reporting, Environmental, Social, and Governance (“ESG”), and Governance, Risk, and Compliance (“GRC”) together in a controlled, secure, audit-ready platform.</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From data to disclosure, the Workiva platform empowers customers by connecting and transforming data from hundreds of enterprise resource planning (“ERP”), human capital management (“HCM”), and customer relationship management (“CRM”) systems, as well as other third-party cloud and on-premise applications. Customers use our platform to create, review and publish data-linked documents, presentations, and reports with greater control, consistency, accuracy, and productivity. Our platform is flexible and scalable, so customers can easily adapt it to define, automate, and change their business processes in real time.</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Workiva provides more than 6,100</w:t>
      </w:r>
      <w:r>
        <w:rPr>
          <w:color w:val="000000"/>
        </w:rPr>
        <w:t xml:space="preserve"> </w:t>
      </w:r>
      <w:r>
        <w:rPr>
          <w:rFonts w:ascii="Times New Roman;sans-serif" w:hAnsi="Times New Roman;sans-serif"/>
          <w:b w:val="false"/>
          <w:color w:val="000000"/>
          <w:sz w:val="22"/>
        </w:rPr>
        <w:t xml:space="preserve">organizations across the globe with SaaS platform solutions to help solve some of the most complex reporting and disclosure challenges. While our customers use our platform for more than 100 different use cases, across dozens of vertical industries, we organize our sales and marketing resources into three purpose-built solution groups (Financial Reporting, ESG, and GRC) focusing primarily on the office of the Chief Financial Officer (“CFO”), Chief Sustainability Officer (“CSO”), and Chief Audit Executive (“CAE”). </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operate our business on a SaaS model. Customers enter into annual and multi-year subscription contracts to gain access to our platform. Our subscription fee includes the use of our software and technical support. Our subscription pricing is based primarily on a solution-based licensing model. Under this model, operating metrics related to a customer’s expected use of each solution determine the price. We charge customers additional fees primarily for document setup and XBRL tagging services. </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generate sales primarily through our direct sales force. In addition, we augment our direct sales channel with partnerships. Our advisory and service partners offer a wider range of domain and functional expertise that broadens the capabilities of our platform, bringing scale and support to customers and prospects. Our technology partners enable more data and process integrations to help customers connect critical transactional systems directly to our platform.</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continue to invest in the development of our solutions, infrastructure and sales and marketing to drive long-term growth. Our full-time employee headcount expanded to 2,680 at June 30, 2024 from 2,508 at June 30, 2023, an increase of 6.9%.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have achieved significant revenue growth in recent periods. Our revenue grew to $177.5 million and $353.2 million during the three and six months ended June 30, 2024, respectively from $155.0 million and $305.2 million during the three and six months ended June 30, 2023, respectively. We incurred net losses of $17.5 million and $29.2 million during the three and six months ended June 30, 2024, respectively compared to $20.9 million and $67.1 million during the three and six months ended June 30, 2023, respectively.</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continue to invest for future growth and are focused on several key drivers, including focusing on multi-solution adoption by new and existing customers, further developing our partner program, accelerating international expansion and our fit-for-purpose solutions. These growth drivers often require a more sophisticated go-to-market approach and, as a result, we may incur additional costs upfront to obtain new customers and expand our relationships with existing customers, including additional sales and marketing expenses.</w:t>
      </w:r>
    </w:p>
    <w:p>
      <w:pPr>
        <w:pStyle w:val="TextBody"/>
        <w:bidi w:val="0"/>
        <w:spacing w:lineRule="auto" w:line="288" w:before="240" w:after="120"/>
        <w:jc w:val="both"/>
        <w:rPr>
          <w:rFonts w:ascii="Times New Roman;sans-serif" w:hAnsi="Times New Roman;sans-serif"/>
          <w:b/>
          <w:color w:val="000000"/>
          <w:sz w:val="22"/>
        </w:rPr>
      </w:pPr>
      <w:r>
        <w:rPr>
          <w:rFonts w:ascii="Times New Roman;sans-serif" w:hAnsi="Times New Roman;sans-serif"/>
          <w:b/>
          <w:color w:val="000000"/>
          <w:sz w:val="22"/>
        </w:rPr>
        <w:t>Recent Business Developments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On June 17, 2024, we acquired all of the issued and outstanding equity interests in Sustain.Life, a leading provider of carbon accounting solutions to launch Workiva Carbon. Workiva Carbon is an audit-ready carbon accounting solution that helps organizations measure, manage, track, and report carbon emissions, including data from third-party supply chain partners. Coupled with Workiva's ESG reporting solution, companies can now collect key business data, calculate critical metrics, set data-driven ESG strategy, measure progress, and report results all in the Workiva platform. See Note 11 to the condensed consolidated financial statements for more information.</w:t>
      </w:r>
    </w:p>
    <w:p>
      <w:pPr>
        <w:pStyle w:val="TextBody"/>
        <w:bidi w:val="0"/>
        <w:spacing w:lineRule="auto" w:line="288" w:before="240" w:after="120"/>
        <w:jc w:val="both"/>
        <w:rPr>
          <w:rFonts w:ascii="Times New Roman;sans-serif" w:hAnsi="Times New Roman;sans-serif"/>
          <w:b/>
          <w:color w:val="000000"/>
          <w:sz w:val="22"/>
        </w:rPr>
      </w:pPr>
      <w:r>
        <w:rPr>
          <w:rFonts w:ascii="Times New Roman;sans-serif" w:hAnsi="Times New Roman;sans-serif"/>
          <w:b/>
          <w:color w:val="000000"/>
          <w:sz w:val="22"/>
        </w:rPr>
        <w:t>Effects of Volatility in the IPO/SPAC Markets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the United States, volatility in the public markets has led to a decrease in the number of initial public offerings (“IPOs”) and special-purpose acquisition companies (“SPACs”) since fiscal year 2022. New sales of our SEC and capital markets solutions were adversely affected by this decline in the IPO and SPAC markets. We expect reduced valuation multiples caused by higher interest rates, inflation, and geopolitical instability to continue to negatively impact the number of IPOs and SPACs in fiscal year 2024. Whether and to what extent the IPO and SPAC markets will moderate cannot be accurately predicted.</w:t>
      </w:r>
    </w:p>
    <w:p>
      <w:pPr>
        <w:pStyle w:val="TextBody"/>
        <w:bidi w:val="0"/>
        <w:spacing w:lineRule="auto" w:line="288" w:before="240" w:after="120"/>
        <w:jc w:val="left"/>
        <w:rPr>
          <w:rFonts w:ascii="Times New Roman;sans-serif" w:hAnsi="Times New Roman;sans-serif"/>
          <w:b/>
          <w:color w:val="000000"/>
          <w:sz w:val="22"/>
        </w:rPr>
      </w:pPr>
      <w:r>
        <w:rPr>
          <w:rFonts w:ascii="Times New Roman;sans-serif" w:hAnsi="Times New Roman;sans-serif"/>
          <w:b/>
          <w:color w:val="000000"/>
          <w:sz w:val="22"/>
        </w:rPr>
        <w:t>Key Factors Affecting Our Performance</w:t>
      </w:r>
    </w:p>
    <w:p>
      <w:pPr>
        <w:pStyle w:val="TextBody"/>
        <w:bidi w:val="0"/>
        <w:spacing w:lineRule="auto" w:line="288" w:before="120" w:after="120"/>
        <w:ind w:left="0" w:right="0" w:firstLine="720"/>
        <w:jc w:val="both"/>
        <w:rPr/>
      </w:pPr>
      <w:r>
        <w:rPr>
          <w:rFonts w:ascii="Times New Roman;sans-serif" w:hAnsi="Times New Roman;sans-serif"/>
          <w:b w:val="false"/>
          <w:i/>
          <w:color w:val="000000"/>
          <w:sz w:val="22"/>
        </w:rPr>
        <w:t>Generate Growth From Existing Customers.</w:t>
      </w:r>
      <w:r>
        <w:rPr>
          <w:color w:val="000000"/>
        </w:rPr>
        <w:t xml:space="preserve"> </w:t>
      </w:r>
      <w:r>
        <w:rPr>
          <w:rFonts w:ascii="Times New Roman;sans-serif" w:hAnsi="Times New Roman;sans-serif"/>
          <w:b w:val="false"/>
          <w:color w:val="000000"/>
          <w:sz w:val="22"/>
        </w:rPr>
        <w:t>The Workiva platform can exhibit a powerful network effect within an enterprise, meaning that the usefulness of our platform attracts additional users. Since solution-based licensing offers our customers an unlimited number of seats for each solution purchased, we expect customers to add more seats over time. As more employees in an enterprise use our platform, additional opportunities for collaboration and automation drive demand among their colleagues for additional solutions.</w:t>
      </w:r>
    </w:p>
    <w:p>
      <w:pPr>
        <w:pStyle w:val="TextBody"/>
        <w:bidi w:val="0"/>
        <w:spacing w:lineRule="auto" w:line="288" w:before="120" w:after="120"/>
        <w:ind w:left="0" w:right="0" w:firstLine="720"/>
        <w:jc w:val="both"/>
        <w:rPr/>
      </w:pPr>
      <w:r>
        <w:rPr>
          <w:rFonts w:ascii="Times New Roman;sans-serif" w:hAnsi="Times New Roman;sans-serif"/>
          <w:b w:val="false"/>
          <w:i/>
          <w:color w:val="000000"/>
          <w:sz w:val="22"/>
        </w:rPr>
        <w:t>Pursue New Customers</w:t>
      </w:r>
      <w:r>
        <w:rPr>
          <w:rFonts w:ascii="Times New Roman;sans-serif" w:hAnsi="Times New Roman;sans-serif"/>
          <w:b w:val="false"/>
          <w:color w:val="000000"/>
          <w:sz w:val="22"/>
        </w:rPr>
        <w:t>. We sell to organizations that manage large, complex processes with distributed teams of contributors and disparate sets of business data. We market our platform to professionals and executives in the areas of financial and non-financial reporting, including regulatory, multi-entity and performance reporting. In addition, we market to teams responsible for environmental, social and governance reporting, and governance, risk and compliance programs. We intend to continue to build our sales and marketing organization and leverage our brand equity to attract new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firstLine="720"/>
        <w:jc w:val="both"/>
        <w:rPr/>
      </w:pPr>
      <w:r>
        <w:rPr>
          <w:rFonts w:ascii="Times New Roman;sans-serif" w:hAnsi="Times New Roman;sans-serif"/>
          <w:b w:val="false"/>
          <w:i/>
          <w:color w:val="000000"/>
          <w:sz w:val="22"/>
        </w:rPr>
        <w:t xml:space="preserve">Offer More Solutions. </w:t>
      </w:r>
      <w:r>
        <w:rPr>
          <w:rFonts w:ascii="Times New Roman;sans-serif" w:hAnsi="Times New Roman;sans-serif"/>
          <w:b w:val="false"/>
          <w:color w:val="000000"/>
          <w:sz w:val="22"/>
        </w:rPr>
        <w:t>We intend to introduce new solutions to continue to meet growing demand for our platform. Our close and trusted relationships with our customers are a source for new use cases, features and solutions. We have a disciplined process for tracking, developing and releasing new solutions that are designed to have immediate, broad applicability; a strong value proposition; and a high return on investment for both Workiva and our customers. Our advance planning team assesses customer needs, conducts industry-based research and defines new markets. This vetting process involves our sales, product marketing, customer success, professional services, research and development, finance and senior management teams.</w:t>
      </w:r>
    </w:p>
    <w:p>
      <w:pPr>
        <w:pStyle w:val="TextBody"/>
        <w:bidi w:val="0"/>
        <w:spacing w:lineRule="auto" w:line="288" w:before="120" w:after="120"/>
        <w:ind w:left="0" w:right="0" w:firstLine="720"/>
        <w:jc w:val="both"/>
        <w:rPr/>
      </w:pPr>
      <w:r>
        <w:rPr>
          <w:rFonts w:ascii="Times New Roman;sans-serif" w:hAnsi="Times New Roman;sans-serif"/>
          <w:b w:val="false"/>
          <w:i/>
          <w:color w:val="000000"/>
          <w:sz w:val="22"/>
        </w:rPr>
        <w:t xml:space="preserve">Expand Across Enterprises. </w:t>
      </w:r>
      <w:r>
        <w:rPr>
          <w:rFonts w:ascii="Times New Roman;sans-serif" w:hAnsi="Times New Roman;sans-serif"/>
          <w:b w:val="false"/>
          <w:color w:val="000000"/>
          <w:sz w:val="22"/>
        </w:rPr>
        <w:t>Our success in delivering multiple solutions has created demand from customers for a broader-based, enterprise-wide Workiva platform. In response, we have been improving our technology and realigning sales and marketing to capitalize on our growing enterprise-wide opportunities. We believe this expansion will add seats and revenue and continue to support our high revenue retention rates. However, we expect that enterprise-wide deals will be larger and more complex, which tend to lengthen the sales cycle.</w:t>
      </w:r>
    </w:p>
    <w:p>
      <w:pPr>
        <w:pStyle w:val="TextBody"/>
        <w:bidi w:val="0"/>
        <w:spacing w:lineRule="auto" w:line="288" w:before="120" w:after="120"/>
        <w:ind w:left="0" w:right="0" w:firstLine="720"/>
        <w:jc w:val="both"/>
        <w:rPr/>
      </w:pPr>
      <w:r>
        <w:rPr>
          <w:rFonts w:ascii="Times New Roman;sans-serif" w:hAnsi="Times New Roman;sans-serif"/>
          <w:b w:val="false"/>
          <w:i/>
          <w:color w:val="000000"/>
          <w:sz w:val="22"/>
        </w:rPr>
        <w:t>Add Partners.</w:t>
      </w:r>
      <w:r>
        <w:rPr>
          <w:color w:val="000000"/>
        </w:rPr>
        <w:t xml:space="preserve"> </w:t>
      </w:r>
      <w:r>
        <w:rPr>
          <w:rFonts w:ascii="Times New Roman;sans-serif" w:hAnsi="Times New Roman;sans-serif"/>
          <w:b w:val="false"/>
          <w:color w:val="000000"/>
          <w:sz w:val="22"/>
        </w:rPr>
        <w:t>We continue to expand and deepen our relationships with global and regional partners, including consulting firms, system integrators, large and mid-sized independent software vendors, and implementation partners. Our advisory and service partners offer a wider range of domain and functional expertise that broadens our platform’s capabilities and promotes Workiva as part of the digital transformation projects they drive for their customers. Our technology partners enable powerful data and process integrations to help customers connect critical transactional systems directly to our platform, with powerful linking, auditability and control features. We believe that our partner ecosystem extends our global reach, accelerates the usage and adoption of our platform, and enables more efficient delivery of professional services.</w:t>
      </w:r>
    </w:p>
    <w:p>
      <w:pPr>
        <w:pStyle w:val="TextBody"/>
        <w:bidi w:val="0"/>
        <w:spacing w:lineRule="auto" w:line="288" w:before="120" w:after="120"/>
        <w:ind w:left="0" w:right="0" w:firstLine="720"/>
        <w:jc w:val="both"/>
        <w:rPr/>
      </w:pPr>
      <w:r>
        <w:rPr>
          <w:rFonts w:ascii="Times New Roman;sans-serif" w:hAnsi="Times New Roman;sans-serif"/>
          <w:b w:val="false"/>
          <w:i/>
          <w:color w:val="000000"/>
          <w:sz w:val="22"/>
        </w:rPr>
        <w:t>Investment in growth</w:t>
      </w:r>
      <w:r>
        <w:rPr>
          <w:rFonts w:ascii="Times New Roman;sans-serif" w:hAnsi="Times New Roman;sans-serif"/>
          <w:b w:val="false"/>
          <w:color w:val="000000"/>
          <w:sz w:val="22"/>
        </w:rPr>
        <w:t>. We plan to continue to invest in the development of our platform, fit-for-purpose solutions and application marketplace to enhance our current offerings and build new features. In addition, we expect to continue to invest in our sales, marketing, professional services and customer success organizations to drive additional revenue and support the needs of our growing customer base and to take advantage of opportunities that we have identified in Europe, the Middle East and Africa ("EMEA") and Asia-Pacific ("APAC") regions.</w:t>
      </w:r>
    </w:p>
    <w:p>
      <w:pPr>
        <w:pStyle w:val="TextBody"/>
        <w:bidi w:val="0"/>
        <w:spacing w:lineRule="auto" w:line="288" w:before="120" w:after="120"/>
        <w:ind w:left="0" w:right="0" w:firstLine="720"/>
        <w:jc w:val="both"/>
        <w:rPr/>
      </w:pPr>
      <w:r>
        <w:rPr>
          <w:rFonts w:ascii="Times New Roman;sans-serif" w:hAnsi="Times New Roman;sans-serif"/>
          <w:b w:val="false"/>
          <w:i/>
          <w:color w:val="000000"/>
          <w:sz w:val="22"/>
        </w:rPr>
        <w:t>Seasonality.</w:t>
      </w:r>
      <w:r>
        <w:rPr>
          <w:color w:val="000000"/>
        </w:rPr>
        <w:t xml:space="preserve"> </w:t>
      </w:r>
      <w:r>
        <w:rPr>
          <w:rFonts w:ascii="Times New Roman;sans-serif" w:hAnsi="Times New Roman;sans-serif"/>
          <w:b w:val="false"/>
          <w:color w:val="000000"/>
          <w:sz w:val="22"/>
        </w:rPr>
        <w:t>Our revenue from professional services has some degree of seasonality. Many of our customers employ our professional services just before they file their Form 10-K, often in the first calendar quarter. Our sales and marketing expense also has some degree of seasonality. Sales and marketing expenses have historically been higher in the third quarter due to our annual user conference in September. In addition, the timing of the payments of cash bonuses to employees during the first and fourth calendar quarters may result in some seasonality in operating cash flow.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120"/>
        <w:jc w:val="left"/>
        <w:rPr>
          <w:rFonts w:ascii="Times New Roman;sans-serif" w:hAnsi="Times New Roman;sans-serif"/>
          <w:b/>
          <w:color w:val="000000"/>
          <w:sz w:val="22"/>
        </w:rPr>
      </w:pPr>
      <w:r>
        <w:rPr>
          <w:rFonts w:ascii="Times New Roman;sans-serif" w:hAnsi="Times New Roman;sans-serif"/>
          <w:b/>
          <w:color w:val="000000"/>
          <w:sz w:val="22"/>
        </w:rPr>
        <w:t>Key Performance Indicators</w:t>
      </w:r>
    </w:p>
    <w:tbl>
      <w:tblPr>
        <w:tblW w:w="10205" w:type="dxa"/>
        <w:jc w:val="left"/>
        <w:tblInd w:w="0" w:type="dxa"/>
        <w:tblLayout w:type="fixed"/>
        <w:tblCellMar>
          <w:top w:w="28" w:type="dxa"/>
          <w:left w:w="28" w:type="dxa"/>
          <w:bottom w:w="28" w:type="dxa"/>
          <w:right w:w="28" w:type="dxa"/>
        </w:tblCellMar>
      </w:tblPr>
      <w:tblGrid>
        <w:gridCol w:w="1458"/>
        <w:gridCol w:w="1240"/>
        <w:gridCol w:w="1247"/>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8"/>
      </w:tblGrid>
      <w:tr>
        <w:trPr/>
        <w:tc>
          <w:tcPr>
            <w:tcW w:w="1458"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Financial metrics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305,211 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increase in total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266,436 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increase in subscription and support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 as a percent of total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7440" w:type="dxa"/>
        <w:jc w:val="center"/>
        <w:tblInd w:w="0" w:type="dxa"/>
        <w:tblLayout w:type="fixed"/>
        <w:tblCellMar>
          <w:top w:w="28" w:type="dxa"/>
          <w:left w:w="28" w:type="dxa"/>
          <w:bottom w:w="28" w:type="dxa"/>
          <w:right w:w="28" w:type="dxa"/>
        </w:tblCellMar>
      </w:tblPr>
      <w:tblGrid>
        <w:gridCol w:w="1996"/>
        <w:gridCol w:w="1752"/>
        <w:gridCol w:w="1757"/>
        <w:gridCol w:w="243"/>
        <w:gridCol w:w="243"/>
        <w:gridCol w:w="249"/>
        <w:gridCol w:w="140"/>
        <w:gridCol w:w="140"/>
        <w:gridCol w:w="140"/>
        <w:gridCol w:w="228"/>
        <w:gridCol w:w="228"/>
        <w:gridCol w:w="324"/>
      </w:tblGrid>
      <w:tr>
        <w:trPr/>
        <w:tc>
          <w:tcPr>
            <w:tcW w:w="1996"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June 30,</w:t>
            </w:r>
          </w:p>
        </w:tc>
      </w:tr>
      <w:tr>
        <w:trPr/>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metrics</w:t>
            </w:r>
          </w:p>
        </w:tc>
        <w:tc>
          <w:tcPr>
            <w:tcW w:w="7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customers</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6,147</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5,860</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 revenue retention rate</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97.6%</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97.6%</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 revenue retention rate including add-ons</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109.2%</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111.1%</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customers with annual contract value $100k+</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1,768</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1,470</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customers with annual contract value $150k+</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823</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customers with annual contract value $300k+</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272</w:t>
            </w:r>
          </w:p>
        </w:tc>
      </w:tr>
    </w:tbl>
    <w:p>
      <w:pPr>
        <w:pStyle w:val="TextBody"/>
        <w:bidi w:val="0"/>
        <w:spacing w:lineRule="auto" w:line="288" w:before="240" w:after="120"/>
        <w:ind w:left="0" w:right="0" w:firstLine="720"/>
        <w:jc w:val="both"/>
        <w:rPr/>
      </w:pPr>
      <w:r>
        <w:rPr>
          <w:rFonts w:ascii="Times New Roman;sans-serif" w:hAnsi="Times New Roman;sans-serif"/>
          <w:b w:val="false"/>
          <w:i/>
          <w:color w:val="000000"/>
          <w:sz w:val="22"/>
        </w:rPr>
        <w:t>Total customers</w:t>
      </w:r>
      <w:r>
        <w:rPr>
          <w:rFonts w:ascii="Times New Roman;sans-serif" w:hAnsi="Times New Roman;sans-serif"/>
          <w:b w:val="false"/>
          <w:color w:val="000000"/>
          <w:sz w:val="22"/>
        </w:rPr>
        <w:t>. We believe total number of customers is a key indicator of our financial success and future revenue potential. We define a customer as an entity with an active subscription contract as of the measurement date. Our customer is typically a parent company or, in a few cases, a significant subsidiary that works with us directly. Companies with publicly-listed securities account for a substantial majority of our customers. Our customer count as of June 30, 2024 does not include Sustain.Life.</w:t>
      </w:r>
    </w:p>
    <w:p>
      <w:pPr>
        <w:pStyle w:val="TextBody"/>
        <w:bidi w:val="0"/>
        <w:spacing w:lineRule="auto" w:line="288" w:before="120" w:after="120"/>
        <w:ind w:left="0" w:right="0" w:firstLine="720"/>
        <w:jc w:val="both"/>
        <w:rPr/>
      </w:pPr>
      <w:r>
        <w:rPr>
          <w:rFonts w:ascii="Times New Roman;sans-serif" w:hAnsi="Times New Roman;sans-serif"/>
          <w:b w:val="false"/>
          <w:i/>
          <w:color w:val="000000"/>
          <w:sz w:val="22"/>
        </w:rPr>
        <w:t>Subscription and support revenue retention rate</w:t>
      </w:r>
      <w:r>
        <w:rPr>
          <w:rFonts w:ascii="Times New Roman;sans-serif" w:hAnsi="Times New Roman;sans-serif"/>
          <w:b w:val="false"/>
          <w:color w:val="000000"/>
          <w:sz w:val="22"/>
        </w:rPr>
        <w:t>. We calculate our subscription and support revenue retention rate based on all customers that were active at the end of the same calendar quarter of the prior year (“base customers”). We begin by annualizing the subscription and support revenue recorded in the same calendar quarter of the prior year for those base customers who are still active at the end of the current quarter. We divide the result by the annualized subscription and support revenue in the same quarter of the prior year for all base customers.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Our subscription and support revenue retention rate was 97.6% as of June 30, 2024, which remained flat from June 30, 2023. We believe that our success in maintaining a high rate of revenue retention is attributable primarily to our robust technology platform and strong customer service. Customers whose securities were deregistered due to merger or acquisition or financial distress accounted for just over half of our revenue attrition in the latest quarter.</w:t>
      </w:r>
    </w:p>
    <w:p>
      <w:pPr>
        <w:pStyle w:val="TextBody"/>
        <w:bidi w:val="0"/>
        <w:spacing w:lineRule="auto" w:line="276" w:before="0" w:after="0"/>
        <w:ind w:left="0" w:right="0" w:firstLine="720"/>
        <w:jc w:val="both"/>
        <w:rPr/>
      </w:pPr>
      <w:r>
        <w:rPr>
          <w:rFonts w:ascii="Times New Roman;sans-serif" w:hAnsi="Times New Roman;sans-serif"/>
          <w:b w:val="false"/>
          <w:i/>
          <w:color w:val="000000"/>
          <w:sz w:val="22"/>
        </w:rPr>
        <w:t>Subscription and support revenue retention rate including add-ons</w:t>
      </w:r>
      <w:r>
        <w:rPr>
          <w:rFonts w:ascii="Times New Roman;sans-serif" w:hAnsi="Times New Roman;sans-serif"/>
          <w:b w:val="false"/>
          <w:color w:val="000000"/>
          <w:sz w:val="22"/>
        </w:rPr>
        <w:t>. Add-on revenue includes the change in both solutions and pricing for existing customers. We calculate our subscription and support revenue retention rate including add-ons by annualizing the subscription and support revenue recorded in the current quarter for our base customers that were active at the end of the current quarter. We divide the result by the annualized subscription and support revenue in the same quarter of the prior year for all base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Our subscription and support revenue retention rate including add-ons was 109.2% as of the quarter ended June 30, 2024, down from 111.1% as of June 30, 2023.</w:t>
      </w:r>
    </w:p>
    <w:p>
      <w:pPr>
        <w:pStyle w:val="TextBody"/>
        <w:bidi w:val="0"/>
        <w:spacing w:lineRule="auto" w:line="288" w:before="120" w:after="120"/>
        <w:ind w:left="0" w:right="0" w:firstLine="720"/>
        <w:jc w:val="both"/>
        <w:rPr/>
      </w:pPr>
      <w:r>
        <w:rPr>
          <w:rFonts w:ascii="Times New Roman;sans-serif" w:hAnsi="Times New Roman;sans-serif"/>
          <w:b w:val="false"/>
          <w:i/>
          <w:color w:val="000000"/>
          <w:sz w:val="22"/>
        </w:rPr>
        <w:t>Annual contract value</w:t>
      </w:r>
      <w:r>
        <w:rPr>
          <w:rFonts w:ascii="Times New Roman;sans-serif" w:hAnsi="Times New Roman;sans-serif"/>
          <w:b w:val="false"/>
          <w:color w:val="000000"/>
          <w:sz w:val="22"/>
        </w:rPr>
        <w:t xml:space="preserve">. Our annual contract value (“ACV”) for each customer is calculated by annualizing the subscription and support revenue recognized during each quarter. We believe the increase in the number of larger contracts shows our progress in expanding our customers’ adoption of our platform. </w:t>
      </w:r>
    </w:p>
    <w:tbl>
      <w:tblPr>
        <w:tblW w:w="10205" w:type="dxa"/>
        <w:jc w:val="left"/>
        <w:tblInd w:w="0" w:type="dxa"/>
        <w:tblLayout w:type="fixed"/>
        <w:tblCellMar>
          <w:top w:w="28" w:type="dxa"/>
          <w:left w:w="28" w:type="dxa"/>
          <w:bottom w:w="28" w:type="dxa"/>
          <w:right w:w="28" w:type="dxa"/>
        </w:tblCellMar>
      </w:tblPr>
      <w:tblGrid>
        <w:gridCol w:w="2201"/>
        <w:gridCol w:w="1933"/>
        <w:gridCol w:w="1938"/>
        <w:gridCol w:w="285"/>
        <w:gridCol w:w="204"/>
        <w:gridCol w:w="192"/>
        <w:gridCol w:w="192"/>
        <w:gridCol w:w="192"/>
        <w:gridCol w:w="192"/>
        <w:gridCol w:w="285"/>
        <w:gridCol w:w="204"/>
        <w:gridCol w:w="192"/>
        <w:gridCol w:w="109"/>
        <w:gridCol w:w="109"/>
        <w:gridCol w:w="109"/>
        <w:gridCol w:w="251"/>
        <w:gridCol w:w="206"/>
        <w:gridCol w:w="175"/>
        <w:gridCol w:w="175"/>
        <w:gridCol w:w="175"/>
        <w:gridCol w:w="175"/>
        <w:gridCol w:w="251"/>
        <w:gridCol w:w="206"/>
        <w:gridCol w:w="254"/>
      </w:tblGrid>
      <w:tr>
        <w:trPr/>
        <w:tc>
          <w:tcPr>
            <w:tcW w:w="2201"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6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6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 revenue from customers with annual contract value of $100k+ as a percent of total subscription and support revenue</w:t>
            </w:r>
          </w:p>
        </w:tc>
        <w:tc>
          <w:tcPr>
            <w:tcW w:w="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69.6%</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69.4%</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64.8%</w:t>
            </w:r>
          </w:p>
        </w:tc>
      </w:tr>
      <w:tr>
        <w:trPr/>
        <w:tc>
          <w:tcPr>
            <w:tcW w:w="6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 revenue from customers with annual contract value of $150k+ as a percent of total subscription and support revenue</w:t>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55.4%</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55.1%</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50.5%</w:t>
            </w:r>
          </w:p>
        </w:tc>
      </w:tr>
      <w:tr>
        <w:trPr/>
        <w:tc>
          <w:tcPr>
            <w:tcW w:w="6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 revenue from customers with annual contract value of $300k+ as a percent of total subscription and support revenue</w:t>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30.5%</w:t>
            </w:r>
          </w:p>
        </w:tc>
      </w:tr>
    </w:tbl>
    <w:p>
      <w:pPr>
        <w:pStyle w:val="TextBody"/>
        <w:bidi w:val="0"/>
        <w:spacing w:lineRule="auto" w:line="288" w:before="240" w:after="120"/>
        <w:jc w:val="left"/>
        <w:rPr>
          <w:rFonts w:ascii="Times New Roman;sans-serif" w:hAnsi="Times New Roman;sans-serif"/>
          <w:b/>
          <w:color w:val="000000"/>
          <w:sz w:val="22"/>
        </w:rPr>
      </w:pPr>
      <w:r>
        <w:rPr>
          <w:rFonts w:ascii="Times New Roman;sans-serif" w:hAnsi="Times New Roman;sans-serif"/>
          <w:b/>
          <w:color w:val="000000"/>
          <w:sz w:val="22"/>
        </w:rPr>
        <w:t>Components of Results of Operations</w:t>
      </w:r>
    </w:p>
    <w:p>
      <w:pPr>
        <w:pStyle w:val="TextBody"/>
        <w:bidi w:val="0"/>
        <w:spacing w:lineRule="auto" w:line="288" w:before="240" w:after="120"/>
        <w:jc w:val="left"/>
        <w:rPr>
          <w:rFonts w:ascii="Times New Roman;sans-serif" w:hAnsi="Times New Roman;sans-serif"/>
          <w:b/>
          <w:i/>
          <w:color w:val="000000"/>
          <w:sz w:val="22"/>
        </w:rPr>
      </w:pPr>
      <w:r>
        <w:rPr>
          <w:rFonts w:ascii="Times New Roman;sans-serif" w:hAnsi="Times New Roman;sans-serif"/>
          <w:b/>
          <w:i/>
          <w:color w:val="000000"/>
          <w:sz w:val="22"/>
        </w:rPr>
        <w:t>Revenue</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generate revenue through the sale of subscriptions to our cloud-based software and the delivery of professional services. We serve a wide range of customers in many industries, and our revenue is not concentrated with any single customer or small group of customers. For the six months ended June 30, 2024 and 2023, no single customer represented more than 1% of our revenue, and our largest 10 customers accounted for less than 10% of our revenue in the aggregate.</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generate sales directly through our sales force and partners. We also identify some sales opportunities with existing customers through our customer success and professional services teams.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customer contracts typically range in length from one year to three years. We typically invoice our customers for subscription fees annually in advance. For contracts with a two or three year term, customers sometimes elect to pay the entire multi-year subscription term in advance. Our arrangements do not contain general rights of return. </w:t>
      </w:r>
    </w:p>
    <w:p>
      <w:pPr>
        <w:pStyle w:val="TextBody"/>
        <w:bidi w:val="0"/>
        <w:spacing w:lineRule="auto" w:line="288" w:before="120" w:after="120"/>
        <w:ind w:left="0" w:right="0" w:firstLine="720"/>
        <w:jc w:val="both"/>
        <w:rPr/>
      </w:pPr>
      <w:r>
        <w:rPr>
          <w:rFonts w:ascii="Times New Roman;sans-serif" w:hAnsi="Times New Roman;sans-serif"/>
          <w:b w:val="false"/>
          <w:i/>
          <w:color w:val="000000"/>
          <w:sz w:val="22"/>
        </w:rPr>
        <w:t>Subscription and Support Revenue</w:t>
      </w:r>
      <w:r>
        <w:rPr>
          <w:rFonts w:ascii="Times New Roman;sans-serif" w:hAnsi="Times New Roman;sans-serif"/>
          <w:b w:val="false"/>
          <w:color w:val="000000"/>
          <w:sz w:val="22"/>
        </w:rPr>
        <w:t>. We recognize subscription and support revenue on a ratable basis over the contract term beginning on the date that our service is made available to the customer. Amounts that are invoiced are initially recorded as deferred revenue.</w:t>
      </w:r>
    </w:p>
    <w:p>
      <w:pPr>
        <w:pStyle w:val="TextBody"/>
        <w:bidi w:val="0"/>
        <w:spacing w:lineRule="auto" w:line="288" w:before="120" w:after="120"/>
        <w:ind w:left="0" w:right="0" w:firstLine="720"/>
        <w:jc w:val="both"/>
        <w:rPr/>
      </w:pPr>
      <w:r>
        <w:rPr>
          <w:rFonts w:ascii="Times New Roman;sans-serif" w:hAnsi="Times New Roman;sans-serif"/>
          <w:b w:val="false"/>
          <w:i/>
          <w:color w:val="000000"/>
          <w:sz w:val="22"/>
        </w:rPr>
        <w:t>Professional Services Revenue</w:t>
      </w:r>
      <w:r>
        <w:rPr>
          <w:rFonts w:ascii="Times New Roman;sans-serif" w:hAnsi="Times New Roman;sans-serif"/>
          <w:b w:val="false"/>
          <w:color w:val="000000"/>
          <w:sz w:val="22"/>
        </w:rPr>
        <w:t>. We believe our professional services facilitate the sale of our subscription service to certain customers. To date, most of our professional services have consisted of document set up, XBRL tagging, and consulting to help our customers with business processes and best practices for using our platform. Our professional services are not required for customers to utilize our solution. We recognize revenue for document set ups when the service is complete and control has transferred to the customer. Revenues from XBRL tagging and consulting services are recognized as the services are performed.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120"/>
        <w:jc w:val="left"/>
        <w:rPr>
          <w:rFonts w:ascii="Times New Roman;sans-serif" w:hAnsi="Times New Roman;sans-serif"/>
          <w:b/>
          <w:i/>
          <w:color w:val="000000"/>
          <w:sz w:val="22"/>
        </w:rPr>
      </w:pPr>
      <w:r>
        <w:rPr>
          <w:rFonts w:ascii="Times New Roman;sans-serif" w:hAnsi="Times New Roman;sans-serif"/>
          <w:b/>
          <w:i/>
          <w:color w:val="000000"/>
          <w:sz w:val="22"/>
        </w:rPr>
        <w:t>Cost of Revenue</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Cost of revenue consists primarily of personnel and related costs directly associated with our professional services, customer success teams and training personnel, including salaries, benefits, bonuses, travel, and stock-based compensation; the costs of contracted third-party vendors; the costs of third-party hosting fees for server usage by our customers; information technology costs; and facility costs. </w:t>
      </w:r>
    </w:p>
    <w:p>
      <w:pPr>
        <w:pStyle w:val="TextBody"/>
        <w:bidi w:val="0"/>
        <w:spacing w:lineRule="auto" w:line="288" w:before="240" w:after="120"/>
        <w:jc w:val="left"/>
        <w:rPr>
          <w:rFonts w:ascii="Times New Roman;sans-serif" w:hAnsi="Times New Roman;sans-serif"/>
          <w:b/>
          <w:i/>
          <w:color w:val="000000"/>
          <w:sz w:val="22"/>
        </w:rPr>
      </w:pPr>
      <w:r>
        <w:rPr>
          <w:rFonts w:ascii="Times New Roman;sans-serif" w:hAnsi="Times New Roman;sans-serif"/>
          <w:b/>
          <w:i/>
          <w:color w:val="000000"/>
          <w:sz w:val="22"/>
        </w:rPr>
        <w:t>Sales and Marketing Expenses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Sales and marketing expenses consist primarily of personnel and related costs, including salaries, benefits, bonuses, commissions, travel, and stock-based compensation. Other costs included in this expense are marketing and promotional events, our annual user conference, online marketing, product marketing, information technology costs, and facility costs. We pay sales commissions for initial contracts and expansions of existing customer contracts. When the relevant amortization period is one year or less, we expense sales commissions as incurred. All other sales commissions are considered incremental costs of obtaining a contract with a customer and are deferred and amortized on a straight-line basis over a period of benefit that we have determined to be three years.</w:t>
      </w:r>
    </w:p>
    <w:p>
      <w:pPr>
        <w:pStyle w:val="TextBody"/>
        <w:bidi w:val="0"/>
        <w:spacing w:lineRule="auto" w:line="288" w:before="240" w:after="120"/>
        <w:jc w:val="left"/>
        <w:rPr>
          <w:rFonts w:ascii="Times New Roman;sans-serif" w:hAnsi="Times New Roman;sans-serif"/>
          <w:b/>
          <w:i/>
          <w:color w:val="000000"/>
          <w:sz w:val="22"/>
        </w:rPr>
      </w:pPr>
      <w:r>
        <w:rPr>
          <w:rFonts w:ascii="Times New Roman;sans-serif" w:hAnsi="Times New Roman;sans-serif"/>
          <w:b/>
          <w:i/>
          <w:color w:val="000000"/>
          <w:sz w:val="22"/>
        </w:rPr>
        <w:t>Research and Development Expenses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Research and development expenses consist primarily of personnel and related costs, including salaries, benefits, bonuses, travel,and stock-based compensation; costs of third-party hosting fees for server usage by our developers; information technology costs; and facility costs.</w:t>
      </w:r>
    </w:p>
    <w:p>
      <w:pPr>
        <w:pStyle w:val="TextBody"/>
        <w:bidi w:val="0"/>
        <w:spacing w:lineRule="auto" w:line="288" w:before="240" w:after="120"/>
        <w:jc w:val="left"/>
        <w:rPr>
          <w:rFonts w:ascii="Times New Roman;sans-serif" w:hAnsi="Times New Roman;sans-serif"/>
          <w:b/>
          <w:i/>
          <w:color w:val="000000"/>
          <w:sz w:val="22"/>
        </w:rPr>
      </w:pPr>
      <w:r>
        <w:rPr>
          <w:rFonts w:ascii="Times New Roman;sans-serif" w:hAnsi="Times New Roman;sans-serif"/>
          <w:b/>
          <w:i/>
          <w:color w:val="000000"/>
          <w:sz w:val="22"/>
        </w:rPr>
        <w:t>General and Administrative Expenses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General and administrative expenses consist primarily of personnel and related costs for our executive, finance and accounting, legal, human resources, and administrative personnel, including salaries, benefits, bonuses, travel, and stock-based compensation; legal, accounting, and other professional service fees; other corporate expenses; information technology costs; and facility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120"/>
        <w:jc w:val="left"/>
        <w:rPr>
          <w:rFonts w:ascii="Times New Roman;sans-serif" w:hAnsi="Times New Roman;sans-serif"/>
          <w:b/>
          <w:color w:val="000000"/>
          <w:sz w:val="22"/>
        </w:rPr>
      </w:pPr>
      <w:r>
        <w:rPr>
          <w:rFonts w:ascii="Times New Roman;sans-serif" w:hAnsi="Times New Roman;sans-serif"/>
          <w:b/>
          <w:color w:val="000000"/>
          <w:sz w:val="22"/>
        </w:rPr>
        <w:t>Results of Operations</w:t>
      </w:r>
    </w:p>
    <w:p>
      <w:pPr>
        <w:pStyle w:val="TextBody"/>
        <w:bidi w:val="0"/>
        <w:spacing w:lineRule="auto" w:line="276"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sets forth selected consolidated statement of operations data for each of the periods indicated:</w:t>
      </w:r>
    </w:p>
    <w:tbl>
      <w:tblPr>
        <w:tblW w:w="8864" w:type="dxa"/>
        <w:jc w:val="left"/>
        <w:tblInd w:w="0" w:type="dxa"/>
        <w:tblLayout w:type="fixed"/>
        <w:tblCellMar>
          <w:top w:w="28" w:type="dxa"/>
          <w:left w:w="28" w:type="dxa"/>
          <w:bottom w:w="28" w:type="dxa"/>
          <w:right w:w="28" w:type="dxa"/>
        </w:tblCellMar>
      </w:tblPr>
      <w:tblGrid>
        <w:gridCol w:w="1174"/>
        <w:gridCol w:w="1036"/>
        <w:gridCol w:w="104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Subscription and support</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Professional services</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Sales and marketing</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(67,060)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     Stock-based compensation expense included in these line items was as follows:</w:t>
      </w:r>
    </w:p>
    <w:tbl>
      <w:tblPr>
        <w:tblW w:w="8793" w:type="dxa"/>
        <w:jc w:val="left"/>
        <w:tblInd w:w="0" w:type="dxa"/>
        <w:tblLayout w:type="fixed"/>
        <w:tblCellMar>
          <w:top w:w="28" w:type="dxa"/>
          <w:left w:w="28" w:type="dxa"/>
          <w:bottom w:w="28" w:type="dxa"/>
          <w:right w:w="28" w:type="dxa"/>
        </w:tblCellMar>
      </w:tblPr>
      <w:tblGrid>
        <w:gridCol w:w="1247"/>
        <w:gridCol w:w="1099"/>
        <w:gridCol w:w="1104"/>
        <w:gridCol w:w="224"/>
        <w:gridCol w:w="767"/>
        <w:gridCol w:w="116"/>
        <w:gridCol w:w="116"/>
        <w:gridCol w:w="116"/>
        <w:gridCol w:w="116"/>
        <w:gridCol w:w="224"/>
        <w:gridCol w:w="767"/>
        <w:gridCol w:w="116"/>
        <w:gridCol w:w="109"/>
        <w:gridCol w:w="109"/>
        <w:gridCol w:w="109"/>
        <w:gridCol w:w="211"/>
        <w:gridCol w:w="721"/>
        <w:gridCol w:w="109"/>
        <w:gridCol w:w="109"/>
        <w:gridCol w:w="109"/>
        <w:gridCol w:w="109"/>
        <w:gridCol w:w="211"/>
        <w:gridCol w:w="721"/>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3"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sets forth our consolidated statement of operations data as a percentage of revenue for each of the periods indicated:</w:t>
      </w:r>
    </w:p>
    <w:tbl>
      <w:tblPr>
        <w:tblW w:w="9353" w:type="dxa"/>
        <w:jc w:val="left"/>
        <w:tblInd w:w="0" w:type="dxa"/>
        <w:tblLayout w:type="fixed"/>
        <w:tblCellMar>
          <w:top w:w="28" w:type="dxa"/>
          <w:left w:w="28" w:type="dxa"/>
          <w:bottom w:w="28" w:type="dxa"/>
          <w:right w:w="28" w:type="dxa"/>
        </w:tblCellMar>
      </w:tblPr>
      <w:tblGrid>
        <w:gridCol w:w="1174"/>
        <w:gridCol w:w="1036"/>
        <w:gridCol w:w="1044"/>
        <w:gridCol w:w="352"/>
        <w:gridCol w:w="264"/>
        <w:gridCol w:w="532"/>
        <w:gridCol w:w="214"/>
        <w:gridCol w:w="214"/>
        <w:gridCol w:w="214"/>
        <w:gridCol w:w="352"/>
        <w:gridCol w:w="264"/>
        <w:gridCol w:w="532"/>
        <w:gridCol w:w="109"/>
        <w:gridCol w:w="109"/>
        <w:gridCol w:w="109"/>
        <w:gridCol w:w="352"/>
        <w:gridCol w:w="264"/>
        <w:gridCol w:w="475"/>
        <w:gridCol w:w="191"/>
        <w:gridCol w:w="191"/>
        <w:gridCol w:w="191"/>
        <w:gridCol w:w="352"/>
        <w:gridCol w:w="264"/>
        <w:gridCol w:w="554"/>
      </w:tblGrid>
      <w:tr>
        <w:trPr/>
        <w:tc>
          <w:tcPr>
            <w:tcW w:w="117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720"/>
        <w:jc w:val="both"/>
        <w:rPr>
          <w:rFonts w:ascii="Times New Roman;sans-serif" w:hAnsi="Times New Roman;sans-serif"/>
          <w:b/>
          <w:i/>
          <w:color w:val="000000"/>
          <w:sz w:val="22"/>
        </w:rPr>
      </w:pPr>
      <w:r>
        <w:rPr>
          <w:rFonts w:ascii="Times New Roman;sans-serif" w:hAnsi="Times New Roman;sans-serif"/>
          <w:b/>
          <w:i/>
          <w:color w:val="000000"/>
          <w:sz w:val="22"/>
        </w:rPr>
        <w:t xml:space="preserve">Comparison of Three and Six Months Ended June 30, 2024 and 2023 </w:t>
      </w:r>
    </w:p>
    <w:p>
      <w:pPr>
        <w:pStyle w:val="TextBody"/>
        <w:bidi w:val="0"/>
        <w:spacing w:lineRule="auto" w:line="288" w:before="240" w:after="120"/>
        <w:jc w:val="both"/>
        <w:rPr>
          <w:rFonts w:ascii="Times New Roman;sans-serif" w:hAnsi="Times New Roman;sans-serif"/>
          <w:b/>
          <w:i/>
          <w:color w:val="000000"/>
          <w:sz w:val="22"/>
        </w:rPr>
      </w:pPr>
      <w:r>
        <w:rPr>
          <w:rFonts w:ascii="Times New Roman;sans-serif" w:hAnsi="Times New Roman;sans-serif"/>
          <w:b/>
          <w:i/>
          <w:color w:val="000000"/>
          <w:sz w:val="22"/>
        </w:rPr>
        <w:t>Revenue</w:t>
      </w:r>
    </w:p>
    <w:tbl>
      <w:tblPr>
        <w:tblW w:w="10205" w:type="dxa"/>
        <w:jc w:val="left"/>
        <w:tblInd w:w="0" w:type="dxa"/>
        <w:tblLayout w:type="fixed"/>
        <w:tblCellMar>
          <w:top w:w="28" w:type="dxa"/>
          <w:left w:w="28" w:type="dxa"/>
          <w:bottom w:w="28" w:type="dxa"/>
          <w:right w:w="28" w:type="dxa"/>
        </w:tblCellMar>
      </w:tblPr>
      <w:tblGrid>
        <w:gridCol w:w="667"/>
        <w:gridCol w:w="588"/>
        <w:gridCol w:w="593"/>
        <w:gridCol w:w="211"/>
        <w:gridCol w:w="826"/>
        <w:gridCol w:w="109"/>
        <w:gridCol w:w="109"/>
        <w:gridCol w:w="109"/>
        <w:gridCol w:w="109"/>
        <w:gridCol w:w="211"/>
        <w:gridCol w:w="826"/>
        <w:gridCol w:w="109"/>
        <w:gridCol w:w="109"/>
        <w:gridCol w:w="109"/>
        <w:gridCol w:w="109"/>
        <w:gridCol w:w="330"/>
        <w:gridCol w:w="330"/>
        <w:gridCol w:w="331"/>
        <w:gridCol w:w="109"/>
        <w:gridCol w:w="109"/>
        <w:gridCol w:w="109"/>
        <w:gridCol w:w="109"/>
        <w:gridCol w:w="211"/>
        <w:gridCol w:w="826"/>
        <w:gridCol w:w="109"/>
        <w:gridCol w:w="109"/>
        <w:gridCol w:w="109"/>
        <w:gridCol w:w="109"/>
        <w:gridCol w:w="211"/>
        <w:gridCol w:w="826"/>
        <w:gridCol w:w="109"/>
        <w:gridCol w:w="109"/>
        <w:gridCol w:w="109"/>
        <w:gridCol w:w="109"/>
        <w:gridCol w:w="303"/>
        <w:gridCol w:w="303"/>
        <w:gridCol w:w="432"/>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1038" w:type="dxa"/>
            <w:gridSpan w:val="3"/>
            <w:tcBorders/>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18.5%</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Total revenue increased $22.5 million for the three months ended June 30, 2024 compared to the same quarter a year ago due primarily to a $24.0 million increase in subscription and support revenue. Growth in subscription and support revenue in the second quarter was attributable mainly to strong demand and continued solution expansion across our customer base. Revenue from professional services decreased</w:t>
      </w:r>
      <w:r>
        <w:rPr>
          <w:color w:val="000000"/>
        </w:rPr>
        <w:t xml:space="preserve"> </w:t>
      </w:r>
      <w:r>
        <w:rPr>
          <w:rFonts w:ascii="Times New Roman;sans-serif" w:hAnsi="Times New Roman;sans-serif"/>
          <w:b w:val="false"/>
          <w:color w:val="000000"/>
          <w:sz w:val="22"/>
        </w:rPr>
        <w:t>$1.5 million</w:t>
      </w:r>
      <w:r>
        <w:rPr>
          <w:color w:val="000000"/>
        </w:rPr>
        <w:t xml:space="preserve"> </w:t>
      </w:r>
      <w:r>
        <w:rPr>
          <w:rFonts w:ascii="Times New Roman;sans-serif" w:hAnsi="Times New Roman;sans-serif"/>
          <w:b w:val="false"/>
          <w:color w:val="000000"/>
          <w:sz w:val="22"/>
        </w:rPr>
        <w:t>for the three months ended June 30, 2024 compared to the same quarter a year ago. We continue to transition consulting and other services to our partners and expect the revenue growth rate from subscription and support to continue to outpace revenue growth from professional services on an annual basis.</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Total revenue increased $48.0 million for the six months ended June 30, 2024 compared to the same period a year ago due primarily to a $49.3 million increase in subscription and support revenue. Growth in subscription and support revenue was attributable mainly to strong demand and continued solution expansion across our customer base. Revenue from professional services decreased $1.3 million</w:t>
      </w:r>
      <w:r>
        <w:rPr>
          <w:color w:val="000000"/>
        </w:rPr>
        <w:t xml:space="preserve"> </w:t>
      </w:r>
      <w:r>
        <w:rPr>
          <w:rFonts w:ascii="Times New Roman;sans-serif" w:hAnsi="Times New Roman;sans-serif"/>
          <w:b w:val="false"/>
          <w:color w:val="000000"/>
          <w:sz w:val="22"/>
        </w:rPr>
        <w:t>for the six months ended June 30, 2024 compared to the same period a year ago. We continue to transition consulting and other services to our partners and expect the revenue growth rate from subscription and support to continue to outpace revenue growth from professional services on an annual basis.</w:t>
      </w:r>
    </w:p>
    <w:p>
      <w:pPr>
        <w:pStyle w:val="TextBody"/>
        <w:bidi w:val="0"/>
        <w:spacing w:lineRule="auto" w:line="288" w:before="240" w:after="120"/>
        <w:jc w:val="left"/>
        <w:rPr>
          <w:rFonts w:ascii="Times New Roman;sans-serif" w:hAnsi="Times New Roman;sans-serif"/>
          <w:b/>
          <w:i/>
          <w:color w:val="000000"/>
          <w:sz w:val="22"/>
        </w:rPr>
      </w:pPr>
      <w:r>
        <w:rPr>
          <w:rFonts w:ascii="Times New Roman;sans-serif" w:hAnsi="Times New Roman;sans-serif"/>
          <w:b/>
          <w:i/>
          <w:color w:val="000000"/>
          <w:sz w:val="22"/>
        </w:rPr>
        <w:t>Cost of Revenue</w:t>
      </w:r>
    </w:p>
    <w:tbl>
      <w:tblPr>
        <w:tblW w:w="10205" w:type="dxa"/>
        <w:jc w:val="left"/>
        <w:tblInd w:w="0" w:type="dxa"/>
        <w:tblLayout w:type="fixed"/>
        <w:tblCellMar>
          <w:top w:w="28" w:type="dxa"/>
          <w:left w:w="28" w:type="dxa"/>
          <w:bottom w:w="28" w:type="dxa"/>
          <w:right w:w="28" w:type="dxa"/>
        </w:tblCellMar>
      </w:tblPr>
      <w:tblGrid>
        <w:gridCol w:w="770"/>
        <w:gridCol w:w="677"/>
        <w:gridCol w:w="674"/>
        <w:gridCol w:w="223"/>
        <w:gridCol w:w="765"/>
        <w:gridCol w:w="115"/>
        <w:gridCol w:w="115"/>
        <w:gridCol w:w="115"/>
        <w:gridCol w:w="115"/>
        <w:gridCol w:w="223"/>
        <w:gridCol w:w="765"/>
        <w:gridCol w:w="115"/>
        <w:gridCol w:w="109"/>
        <w:gridCol w:w="109"/>
        <w:gridCol w:w="109"/>
        <w:gridCol w:w="330"/>
        <w:gridCol w:w="330"/>
        <w:gridCol w:w="331"/>
        <w:gridCol w:w="109"/>
        <w:gridCol w:w="109"/>
        <w:gridCol w:w="109"/>
        <w:gridCol w:w="109"/>
        <w:gridCol w:w="211"/>
        <w:gridCol w:w="721"/>
        <w:gridCol w:w="109"/>
        <w:gridCol w:w="109"/>
        <w:gridCol w:w="109"/>
        <w:gridCol w:w="109"/>
        <w:gridCol w:w="211"/>
        <w:gridCol w:w="721"/>
        <w:gridCol w:w="109"/>
        <w:gridCol w:w="109"/>
        <w:gridCol w:w="109"/>
        <w:gridCol w:w="109"/>
        <w:gridCol w:w="303"/>
        <w:gridCol w:w="303"/>
        <w:gridCol w:w="437"/>
      </w:tblGrid>
      <w:tr>
        <w:trPr/>
        <w:tc>
          <w:tcPr>
            <w:tcW w:w="77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1"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1043" w:type="dxa"/>
            <w:gridSpan w:val="3"/>
            <w:tcBorders/>
          </w:tcPr>
          <w:p>
            <w:pPr>
              <w:pStyle w:val="TableContents"/>
              <w:bidi w:val="0"/>
              <w:spacing w:before="0" w:after="283"/>
              <w:jc w:val="left"/>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39,504 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r>
    </w:tbl>
    <w:p>
      <w:pPr>
        <w:pStyle w:val="TextBody"/>
        <w:bidi w:val="0"/>
        <w:spacing w:lineRule="auto" w:line="288" w:before="120" w:after="120"/>
        <w:ind w:left="0" w:right="0" w:firstLine="720"/>
        <w:jc w:val="both"/>
        <w:rPr/>
      </w:pPr>
      <w:r>
        <w:rPr>
          <w:rFonts w:ascii="Times New Roman;sans-serif" w:hAnsi="Times New Roman;sans-serif"/>
          <w:b w:val="false"/>
          <w:color w:val="000000"/>
          <w:sz w:val="22"/>
        </w:rPr>
        <w:t>Cost of revenue increased $1.7 million during the three months ended June 30, 2024 compared to the same quarter a year ago. Subscription and support cost of revenue increased $2.9 million due primarily to $2.4 million in higher cash-based compensation and benefits costs and $0.5 million of additional stock-based compensation. The increase in compensation resulted primarily from our continued investment in and support of our platform and solutions. Professional services cost of revenue decreased $1.2 million due primarily to a $0.8 million</w:t>
      </w:r>
      <w:r>
        <w:rPr>
          <w:color w:val="000000"/>
        </w:rPr>
        <w:t xml:space="preserve"> </w:t>
      </w:r>
      <w:r>
        <w:rPr>
          <w:rFonts w:ascii="Times New Roman;sans-serif" w:hAnsi="Times New Roman;sans-serif"/>
          <w:b w:val="false"/>
          <w:color w:val="000000"/>
          <w:sz w:val="22"/>
        </w:rPr>
        <w:t>decrease in cash-based compensation and benefits costs. The decrease was primarily driven by a decrease in employee headcount as we continue to transition consulting and other services to our partners.</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Cost of revenue increased $4.7 million during the six months ended June 30, 2024 compared to the same period a year ago. Subscription and support cost of revenue increased $6.7 million due primarily to $4.9 million in higher cash-based compensation and benefits costs, $1.1 million of additional stock-based compensation, and a $0.4 million increase in software expense. The increases in compensation and software expense resulted primarily from our continued investment in and support of our platform and solutions. Professional services cost of revenue decreased $2.0 million due primarily to a $1.6 million</w:t>
      </w:r>
      <w:r>
        <w:rPr>
          <w:color w:val="000000"/>
        </w:rPr>
        <w:t xml:space="preserve"> </w:t>
      </w:r>
      <w:r>
        <w:rPr>
          <w:rFonts w:ascii="Times New Roman;sans-serif" w:hAnsi="Times New Roman;sans-serif"/>
          <w:b w:val="false"/>
          <w:color w:val="000000"/>
          <w:sz w:val="22"/>
        </w:rPr>
        <w:t>decrease in cash-based compensation and benefits costs. The decrease was primarily driven by a decrease in employee headcount as we continue to transition consulting and other services to our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120"/>
        <w:jc w:val="left"/>
        <w:rPr>
          <w:rFonts w:ascii="Times New Roman;sans-serif" w:hAnsi="Times New Roman;sans-serif"/>
          <w:b/>
          <w:i/>
          <w:color w:val="000000"/>
          <w:sz w:val="22"/>
        </w:rPr>
      </w:pPr>
      <w:r>
        <w:rPr>
          <w:rFonts w:ascii="Times New Roman;sans-serif" w:hAnsi="Times New Roman;sans-serif"/>
          <w:b/>
          <w:i/>
          <w:color w:val="000000"/>
          <w:sz w:val="22"/>
        </w:rPr>
        <w:t>Operating Expenses</w:t>
      </w:r>
    </w:p>
    <w:tbl>
      <w:tblPr>
        <w:tblW w:w="10205" w:type="dxa"/>
        <w:jc w:val="left"/>
        <w:tblInd w:w="0" w:type="dxa"/>
        <w:tblLayout w:type="fixed"/>
        <w:tblCellMar>
          <w:top w:w="28" w:type="dxa"/>
          <w:left w:w="28" w:type="dxa"/>
          <w:bottom w:w="28" w:type="dxa"/>
          <w:right w:w="28" w:type="dxa"/>
        </w:tblCellMar>
      </w:tblPr>
      <w:tblGrid>
        <w:gridCol w:w="773"/>
        <w:gridCol w:w="536"/>
        <w:gridCol w:w="539"/>
        <w:gridCol w:w="211"/>
        <w:gridCol w:w="826"/>
        <w:gridCol w:w="109"/>
        <w:gridCol w:w="109"/>
        <w:gridCol w:w="109"/>
        <w:gridCol w:w="109"/>
        <w:gridCol w:w="211"/>
        <w:gridCol w:w="826"/>
        <w:gridCol w:w="109"/>
        <w:gridCol w:w="109"/>
        <w:gridCol w:w="109"/>
        <w:gridCol w:w="109"/>
        <w:gridCol w:w="330"/>
        <w:gridCol w:w="330"/>
        <w:gridCol w:w="331"/>
        <w:gridCol w:w="109"/>
        <w:gridCol w:w="109"/>
        <w:gridCol w:w="109"/>
        <w:gridCol w:w="109"/>
        <w:gridCol w:w="211"/>
        <w:gridCol w:w="826"/>
        <w:gridCol w:w="109"/>
        <w:gridCol w:w="109"/>
        <w:gridCol w:w="109"/>
        <w:gridCol w:w="109"/>
        <w:gridCol w:w="211"/>
        <w:gridCol w:w="826"/>
        <w:gridCol w:w="109"/>
        <w:gridCol w:w="109"/>
        <w:gridCol w:w="109"/>
        <w:gridCol w:w="109"/>
        <w:gridCol w:w="303"/>
        <w:gridCol w:w="303"/>
        <w:gridCol w:w="432"/>
      </w:tblGrid>
      <w:tr>
        <w:trPr/>
        <w:tc>
          <w:tcPr>
            <w:tcW w:w="77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1038" w:type="dxa"/>
            <w:gridSpan w:val="3"/>
            <w:tcBorders/>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17.3%</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r>
    </w:tbl>
    <w:p>
      <w:pPr>
        <w:pStyle w:val="TextBody"/>
        <w:bidi w:val="0"/>
        <w:spacing w:lineRule="auto" w:line="288" w:before="120" w:after="120"/>
        <w:ind w:left="0" w:right="0" w:firstLine="720"/>
        <w:jc w:val="left"/>
        <w:rPr>
          <w:rFonts w:ascii="Times New Roman;sans-serif" w:hAnsi="Times New Roman;sans-serif"/>
          <w:b w:val="false"/>
          <w:i/>
          <w:color w:val="000000"/>
          <w:sz w:val="22"/>
        </w:rPr>
      </w:pPr>
      <w:r>
        <w:rPr>
          <w:rFonts w:ascii="Times New Roman;sans-serif" w:hAnsi="Times New Roman;sans-serif"/>
          <w:b w:val="false"/>
          <w:i/>
          <w:color w:val="000000"/>
          <w:sz w:val="22"/>
        </w:rPr>
        <w:t>Research and Development</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Research and development expenses increased $5.7 million during the three months ended June 30, 2024 compared to the same quarter a year ago due primarily to $2.0 million in higher cash-based compensation and benefits, $0.3 million of additional stock-based compensation, a $1.9 million increase in travel expense, and a $1.0 million increase in professional service fees. The increases in compensation and professional service fees resulted primarily from our continued investment in and support of our platform and solutions. The increase in travel expense was primarily due to our annual research and development event which was held in the second quarter of 2024. In the prior year the event was held in the first quarter.</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Research and development expenses increased $5.4 million during the six months ended June 30, 2024 compared to the same period a year ago due primarily to $4.1 million in higher cash-based compensation and benefits, $0.3 million of additional stock-based compensation, and a $1.0 million increase in professional service fees partially offset by a $0.4 million decrease in software expense. The increases in compensation and professional service fees resulted primarily from our continued investment in and support of our platform and solutions.</w:t>
      </w:r>
    </w:p>
    <w:p>
      <w:pPr>
        <w:pStyle w:val="TextBody"/>
        <w:bidi w:val="0"/>
        <w:spacing w:lineRule="auto" w:line="288" w:before="120" w:after="120"/>
        <w:ind w:left="0" w:right="0" w:firstLine="720"/>
        <w:jc w:val="both"/>
        <w:rPr>
          <w:rFonts w:ascii="Times New Roman;sans-serif" w:hAnsi="Times New Roman;sans-serif"/>
          <w:b w:val="false"/>
          <w:i/>
          <w:color w:val="000000"/>
          <w:sz w:val="22"/>
        </w:rPr>
      </w:pPr>
      <w:r>
        <w:rPr>
          <w:rFonts w:ascii="Times New Roman;sans-serif" w:hAnsi="Times New Roman;sans-serif"/>
          <w:b w:val="false"/>
          <w:i/>
          <w:color w:val="000000"/>
          <w:sz w:val="22"/>
        </w:rPr>
        <w:t>Sales and Marketing</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Sales and marketing expenses increased $12.8 million during the three months ended June 30, 2024 compared to the same quarter a year ago due primarily to $8.1 million in higher cash-based compensation and benefits, $1.8 million of additional stock-based compensation, a $1.0 million increase in travel expense, a $0.9 million increase in professional service fees, and a $0.8 million increase in marketing and advertising. The increase in compensation was primarily due to an increase in employee headcount as we continue to invest in our go-to-market activities. The increase in travel expense was primarily due to a general increase in travel driven by an increase in employee headcount and our continued investment in our go-to-market activities. The increases in professional service fees and marketing and advertising was the result of our continued investment in and support of our platform and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Sales and marketing expenses increased $24.7 million during the six months ended June 30, 2024 compared to the same period a year ago due primarily to $16.3 million in higher cash-based compensation and benefits, $2.9 million of additional stock-based compensation, a $2.2 million increase in travel expense, a $1.8 million increase in professional service fees, and a $1.0 million increase in public relations. The increase in compensation was primarily due to an increase in employee headcount and sales commissions as we continue to invest in our go-to-market activities. The increase in travel expense was primarily due to our annual internal sales and marketing event and a general increase in travel driven by an increase in employee headcount and our continued investment in our go-to-market activities. The increases in professional service fees and marketing and advertising was the result of our continued investment in and support of our platform and solutions. </w:t>
      </w:r>
    </w:p>
    <w:p>
      <w:pPr>
        <w:pStyle w:val="TextBody"/>
        <w:bidi w:val="0"/>
        <w:spacing w:lineRule="auto" w:line="288" w:before="120" w:after="120"/>
        <w:ind w:left="0" w:right="0" w:firstLine="720"/>
        <w:jc w:val="both"/>
        <w:rPr>
          <w:rFonts w:ascii="Times New Roman;sans-serif" w:hAnsi="Times New Roman;sans-serif"/>
          <w:b w:val="false"/>
          <w:i/>
          <w:color w:val="000000"/>
          <w:sz w:val="22"/>
        </w:rPr>
      </w:pPr>
      <w:r>
        <w:rPr>
          <w:rFonts w:ascii="Times New Roman;sans-serif" w:hAnsi="Times New Roman;sans-serif"/>
          <w:b w:val="false"/>
          <w:i/>
          <w:color w:val="000000"/>
          <w:sz w:val="22"/>
        </w:rPr>
        <w:t>General and Administrative</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General and administrative expenses increased $2.7 million during the three months ended June 30, 2024 compared to the same quarter a year ago due primarily to a $0.4 million increase in cash-based compensation and benefits, $2.0 million of additional stock-based compensation, and a $0.9 million increase in professional service fees. In addition, during the second quarter of 2023 we recorded one-time fees of $0.6 million related to the cancellation of certain events which did not recur in the second quarter of 2024. The increase in compensation was primarily due to additional performance-based restricted stock awards issued to executives in the latter part of the first quarter of 2024 and changes in the assumptions associated with the attainment of company-specific performance targets. The remaining increase in compensation was due to a modest increase in employee headcount. The increase in professional service fees was primarily due to costs incurred to acquire Sustain.Life.</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General and administrative expenses decreased $15.0 million during the six months ended June 30, 2024 compared to the same period a year ago due primarily to a $1.0 million decrease in cash-based compensation and benefits and a $14.8 million decrease in stock-based compensation partially offset by a $0.6 million increase in professional service fees. In addition, during the six months ended June 30, 2023, we recorded a one-time benefit of $1.0 million related to a goods and services tax refund as well as one-time fees of $0.6 million related to the cancellation of certain events which did not recur in 2024. The decrease in compensation during the first six months of 2024 is primarily due to the recognition of $1.4 million and $18.1 million in cash-based and stock-based compensation, respectively, pursuant to certain transition agreements with former executives during the first quarter of 2023 which did not recur in 2024, partially offset by a modest increase in employee headcount and an increase in performance-based restricted stock expense driven by additional performance-based restricted stock awards issued to executives in the latter part of the first quarter of 2024 and changes in the assumptions associated with the attainment of company-specific performance targets. The increase in professional service fees was primarily due to costs incurred to acquire Sustain.Life.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120"/>
        <w:jc w:val="left"/>
        <w:rPr>
          <w:rFonts w:ascii="Times New Roman;sans-serif" w:hAnsi="Times New Roman;sans-serif"/>
          <w:b/>
          <w:i/>
          <w:color w:val="000000"/>
          <w:sz w:val="22"/>
        </w:rPr>
      </w:pPr>
      <w:r>
        <w:rPr>
          <w:rFonts w:ascii="Times New Roman;sans-serif" w:hAnsi="Times New Roman;sans-serif"/>
          <w:b/>
          <w:i/>
          <w:color w:val="000000"/>
          <w:sz w:val="22"/>
        </w:rPr>
        <w:t>Non-Operating Income (Expenses)</w:t>
      </w:r>
    </w:p>
    <w:tbl>
      <w:tblPr>
        <w:tblW w:w="10205" w:type="dxa"/>
        <w:jc w:val="left"/>
        <w:tblInd w:w="0" w:type="dxa"/>
        <w:tblLayout w:type="fixed"/>
        <w:tblCellMar>
          <w:top w:w="28" w:type="dxa"/>
          <w:left w:w="28" w:type="dxa"/>
          <w:bottom w:w="28" w:type="dxa"/>
          <w:right w:w="28" w:type="dxa"/>
        </w:tblCellMar>
      </w:tblPr>
      <w:tblGrid>
        <w:gridCol w:w="820"/>
        <w:gridCol w:w="702"/>
        <w:gridCol w:w="708"/>
        <w:gridCol w:w="231"/>
        <w:gridCol w:w="793"/>
        <w:gridCol w:w="119"/>
        <w:gridCol w:w="119"/>
        <w:gridCol w:w="119"/>
        <w:gridCol w:w="119"/>
        <w:gridCol w:w="231"/>
        <w:gridCol w:w="678"/>
        <w:gridCol w:w="119"/>
        <w:gridCol w:w="109"/>
        <w:gridCol w:w="109"/>
        <w:gridCol w:w="109"/>
        <w:gridCol w:w="330"/>
        <w:gridCol w:w="330"/>
        <w:gridCol w:w="331"/>
        <w:gridCol w:w="109"/>
        <w:gridCol w:w="109"/>
        <w:gridCol w:w="109"/>
        <w:gridCol w:w="109"/>
        <w:gridCol w:w="212"/>
        <w:gridCol w:w="726"/>
        <w:gridCol w:w="109"/>
        <w:gridCol w:w="109"/>
        <w:gridCol w:w="109"/>
        <w:gridCol w:w="109"/>
        <w:gridCol w:w="212"/>
        <w:gridCol w:w="620"/>
        <w:gridCol w:w="109"/>
        <w:gridCol w:w="109"/>
        <w:gridCol w:w="109"/>
        <w:gridCol w:w="109"/>
        <w:gridCol w:w="303"/>
        <w:gridCol w:w="303"/>
        <w:gridCol w:w="445"/>
      </w:tblGrid>
      <w:tr>
        <w:trPr/>
        <w:tc>
          <w:tcPr>
            <w:tcW w:w="82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4" w:type="dxa"/>
            <w:gridSpan w:val="3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1051" w:type="dxa"/>
            <w:gridSpan w:val="3"/>
            <w:tcBorders/>
          </w:tcPr>
          <w:p>
            <w:pPr>
              <w:pStyle w:val="TableContents"/>
              <w:bidi w:val="0"/>
              <w:spacing w:before="0" w:after="283"/>
              <w:jc w:val="left"/>
              <w:rPr>
                <w:sz w:val="4"/>
                <w:szCs w:val="4"/>
              </w:rPr>
            </w:pPr>
            <w:r>
              <w:rPr>
                <w:sz w:val="4"/>
                <w:szCs w:val="4"/>
              </w:rPr>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127.9%</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152.0%</w:t>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115.9%</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115.6%</w:t>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Percentage is not meaningful.</w:t>
      </w:r>
    </w:p>
    <w:p>
      <w:pPr>
        <w:pStyle w:val="TextBody"/>
        <w:bidi w:val="0"/>
        <w:spacing w:lineRule="auto" w:line="288" w:before="120" w:after="120"/>
        <w:ind w:left="0" w:right="0" w:firstLine="720"/>
        <w:jc w:val="left"/>
        <w:rPr>
          <w:rFonts w:ascii="Times New Roman;sans-serif" w:hAnsi="Times New Roman;sans-serif"/>
          <w:b w:val="false"/>
          <w:i/>
          <w:color w:val="000000"/>
          <w:sz w:val="22"/>
        </w:rPr>
      </w:pPr>
      <w:r>
        <w:rPr>
          <w:rFonts w:ascii="Times New Roman;sans-serif" w:hAnsi="Times New Roman;sans-serif"/>
          <w:b w:val="false"/>
          <w:i/>
          <w:color w:val="000000"/>
          <w:sz w:val="22"/>
        </w:rPr>
        <w:t>Interest Income, Interest Expense and Other (Expense) Income, Net</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During the three months ended June 30, 2024, interest income increased $5.8 million compared to the same quarter a year ago due primarily to an increase in our investment balance, facilitated by the issuance of our 2028 convertible notes, coupled with higher interest rates. Interest expense increased $1.7 million compared to the same quarter a year ago due primarily to the issuance of our 2028 convertible notes. Other (expense) income, net decreased $0.4 million compared to the same quarter a year ago due primarily to gains on foreign currency transactions as well as losses on the sale of available-for-sale securities from the second quarter of 2023 which did not recur in the second quarter of 2024.</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During the six months ended June 30, 2024, interest income increased $12.5 million compared to the same period a year ago due primarily to an increase in our investment balance, facilitated by the issuance of our 2028 convertible notes, coupled with higher interest rates. Interest expense increased $3.5 million compared to the same period a year ago due primarily to the issuance of our 2028 convertible notes. Other (expense) income, net decreased $1.4 million compared to the same period a year ago due primarily to gains on foreign currency transactions as well as losses on the sale of available-for-sale securities from the first six months of 2023 which did not recur in 2024.</w:t>
      </w:r>
    </w:p>
    <w:p>
      <w:pPr>
        <w:pStyle w:val="TextBody"/>
        <w:bidi w:val="0"/>
        <w:spacing w:lineRule="auto" w:line="288" w:before="120" w:after="120"/>
        <w:jc w:val="both"/>
        <w:rPr>
          <w:rFonts w:ascii="Times New Roman;sans-serif" w:hAnsi="Times New Roman;sans-serif"/>
          <w:b/>
          <w:color w:val="000000"/>
          <w:sz w:val="22"/>
        </w:rPr>
      </w:pPr>
      <w:r>
        <w:rPr>
          <w:rFonts w:ascii="Times New Roman;sans-serif" w:hAnsi="Times New Roman;sans-serif"/>
          <w:b/>
          <w:color w:val="000000"/>
          <w:sz w:val="22"/>
        </w:rPr>
        <w:t>Results of Operations for Fiscal 2023 Compared to 2022</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For a comparison of our results of operations for the fiscal years ended December 31, 2023 and 2022, see "Part II, Item 7. Management's Discussion and Analysis of Financial Condition and Results of Operations" of our annual report on Form 10-K for the fiscal year ended December 31, 2023, filed with the SEC on February 20,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120"/>
        <w:jc w:val="left"/>
        <w:rPr>
          <w:rFonts w:ascii="Times New Roman;sans-serif" w:hAnsi="Times New Roman;sans-serif"/>
          <w:b/>
          <w:color w:val="000000"/>
          <w:sz w:val="22"/>
        </w:rPr>
      </w:pPr>
      <w:r>
        <w:rPr>
          <w:rFonts w:ascii="Times New Roman;sans-serif" w:hAnsi="Times New Roman;sans-serif"/>
          <w:b/>
          <w:color w:val="000000"/>
          <w:sz w:val="22"/>
        </w:rPr>
        <w:t>Liquidity and Capital Resources</w:t>
      </w:r>
    </w:p>
    <w:p>
      <w:pPr>
        <w:pStyle w:val="TextBody"/>
        <w:bidi w:val="0"/>
        <w:spacing w:lineRule="auto" w:line="288" w:before="240" w:after="120"/>
        <w:jc w:val="both"/>
        <w:rPr>
          <w:rFonts w:ascii="Times New Roman;sans-serif" w:hAnsi="Times New Roman;sans-serif"/>
          <w:b/>
          <w:i/>
          <w:color w:val="000000"/>
          <w:sz w:val="22"/>
        </w:rPr>
      </w:pPr>
      <w:r>
        <w:rPr>
          <w:rFonts w:ascii="Times New Roman;sans-serif" w:hAnsi="Times New Roman;sans-serif"/>
          <w:b/>
          <w:i/>
          <w:color w:val="000000"/>
          <w:sz w:val="22"/>
        </w:rPr>
        <w:t>Overview of Sources and Uses of Cash</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As of June 30, 2024, our principal sources of liquidity were cash, cash equivalents and marketable securities totaling $740.9 million, which were held for working capital purposes. We have financed our operations primarily through cash generated from operations and issuances of convertible debts. We have generated significant operating losses as reflected in our accumulated deficit on our condensed consolidated balance sheets. While we expect to continue to incur operating losses and may incur negative cash flows from operations in the future, we believe that current cash and cash equivalents and cash flows from operating activities will be sufficient to fund our operations for at least the next twelve months.</w:t>
      </w:r>
    </w:p>
    <w:p>
      <w:pPr>
        <w:pStyle w:val="TextBody"/>
        <w:bidi w:val="0"/>
        <w:spacing w:lineRule="auto" w:line="288" w:before="240" w:after="120"/>
        <w:jc w:val="both"/>
        <w:rPr>
          <w:rFonts w:ascii="Times New Roman;sans-serif" w:hAnsi="Times New Roman;sans-serif"/>
          <w:b/>
          <w:i/>
          <w:color w:val="000000"/>
          <w:sz w:val="22"/>
        </w:rPr>
      </w:pPr>
      <w:r>
        <w:rPr>
          <w:rFonts w:ascii="Times New Roman;sans-serif" w:hAnsi="Times New Roman;sans-serif"/>
          <w:b/>
          <w:i/>
          <w:color w:val="000000"/>
          <w:sz w:val="22"/>
        </w:rPr>
        <w:t>Convertible Debt</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August 2023, we issued $702.0 million aggregate principal amount of 1.250% convertible senior notes due 2028 (the "2028 Notes"). Proceeds from the issuance of the 2028 Notes totaled $691.1 million, net of initial purchaser discounts and issuance costs. We used $396.9 million of the net proceeds from the 2028 Notes offering to repurchase $273.8 million principal amount, together with accrued and unpaid interest thereon, of our 1.125% convertible senior notes due 2026 (the "2026 Notes") in separate and individually negotiated transactions with certain holders. As of June 30, 2024, we had outstanding debt relating to our 2026 Notes and 2028 Notes of $70.7 million and $693.0 million, with corresponding maturity dates of August 15, 2026 and August 15, 2028, respectively.</w:t>
      </w:r>
    </w:p>
    <w:p>
      <w:pPr>
        <w:pStyle w:val="TextBody"/>
        <w:bidi w:val="0"/>
        <w:spacing w:lineRule="auto" w:line="288" w:before="240" w:after="120"/>
        <w:jc w:val="both"/>
        <w:rPr>
          <w:rFonts w:ascii="Times New Roman;sans-serif" w:hAnsi="Times New Roman;sans-serif"/>
          <w:b/>
          <w:i/>
          <w:color w:val="000000"/>
          <w:sz w:val="22"/>
        </w:rPr>
      </w:pPr>
      <w:r>
        <w:rPr>
          <w:rFonts w:ascii="Times New Roman;sans-serif" w:hAnsi="Times New Roman;sans-serif"/>
          <w:b/>
          <w:i/>
          <w:color w:val="000000"/>
          <w:sz w:val="22"/>
        </w:rPr>
        <w:t>Cash Flows</w:t>
      </w:r>
    </w:p>
    <w:tbl>
      <w:tblPr>
        <w:tblW w:w="10205" w:type="dxa"/>
        <w:jc w:val="left"/>
        <w:tblInd w:w="0" w:type="dxa"/>
        <w:tblLayout w:type="fixed"/>
        <w:tblCellMar>
          <w:top w:w="28" w:type="dxa"/>
          <w:left w:w="28" w:type="dxa"/>
          <w:bottom w:w="28" w:type="dxa"/>
          <w:right w:w="28" w:type="dxa"/>
        </w:tblCellMar>
      </w:tblPr>
      <w:tblGrid>
        <w:gridCol w:w="1814"/>
        <w:gridCol w:w="1530"/>
        <w:gridCol w:w="1534"/>
        <w:gridCol w:w="214"/>
        <w:gridCol w:w="782"/>
        <w:gridCol w:w="110"/>
        <w:gridCol w:w="110"/>
        <w:gridCol w:w="110"/>
        <w:gridCol w:w="110"/>
        <w:gridCol w:w="214"/>
        <w:gridCol w:w="733"/>
        <w:gridCol w:w="110"/>
        <w:gridCol w:w="109"/>
        <w:gridCol w:w="109"/>
        <w:gridCol w:w="109"/>
        <w:gridCol w:w="211"/>
        <w:gridCol w:w="721"/>
        <w:gridCol w:w="109"/>
        <w:gridCol w:w="109"/>
        <w:gridCol w:w="109"/>
        <w:gridCol w:w="109"/>
        <w:gridCol w:w="211"/>
        <w:gridCol w:w="768"/>
        <w:gridCol w:w="160"/>
      </w:tblGrid>
      <w:tr>
        <w:trPr/>
        <w:tc>
          <w:tcPr>
            <w:tcW w:w="1814"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7"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(used in) provided by operating activities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used in investing activities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(73,018)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used in financing activities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cash equivalents and restricted cash, net of impact of exchange rates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(41,258)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ans-serif" w:hAnsi="Times New Roman;sans-serif"/>
          <w:b w:val="false"/>
          <w:i/>
          <w:color w:val="000000"/>
          <w:sz w:val="22"/>
        </w:rPr>
      </w:pPr>
      <w:r>
        <w:rPr>
          <w:rFonts w:ascii="Times New Roman;sans-serif" w:hAnsi="Times New Roman;sans-serif"/>
          <w:b w:val="false"/>
          <w:i/>
          <w:color w:val="000000"/>
          <w:sz w:val="22"/>
        </w:rPr>
        <w:t>Operating Activities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Our largest source of operating cash is cash collections from customers for subscription and support access to our platform. Our primary uses of cash from operating activities are for personnel-related expenditures, marketing activities, and costs of cloud infrastructure services.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Cash used in operating activities was flat for the three months ended June 30, 2024 and consisted of a net loss of $17.5 million adjusted for non-cash charges of $25.4 million and net cash outflows of $7.9 million from changes in operating assets and liabilities. Net cash used in operating activities was primarily due to an increase in accounts receivable driven by an increase in large contracts that were signed toward the end of the period and timing of collections from customers. The increase in large contracts also drove an increase in deferred costs, partially offset by the related increase in deferred revenue. The decreases in accounts payable, prepaid expenses, and other receivables as well as the increases in accrued expenses and other liabilities were attributable primarily to the timing of cash payments and collections.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Cash provided by operating activities of $26.0 million for the three months ended June 30, 2023 consisted of a net loss of $20.9 million adjusted for non-cash charges of $22.3 million and net cash inflows of $24.6 million from changes in operating assets and liabilities. Customer growth and contract renewals for longer terms accounted for most of the increase in deferred revenue. Deferred costs decreased primarily due to the amortization of direct and incremental costs of obtaining a customer contract. The increases in accounts receivable, prepaid expenses, and accrued expenses and other liabilities as well as the decrease in accounts payable were attributable primarily to the timing of our billings, cash collections, and cash payments.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Cash provided by operating activities of $24.8 million for the six months ended June 30, 2024 consisted of a net loss of $29.2 million adjusted for non-cash charges of $47.4 million and net cash inflows of $6.7 million from changes in operating assets and liabilities. The change in operating assets and liabilities was driven by a decrease in deferred revenue which was due in part to a reduction of multi-year prepaid customer contracts and timing of contract negotiations. The increase in deferred costs was primarily due to growth in subscription bookings. The increases in other assets, accounts payable, and accrued expenses and other liabilities as well as the decreases in accounts receivable, prepaid expenses, and other receivables were attributable primarily to the timing of our billings, cash collections, and cash payments.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Cash provided by operating activities of $31.5 million for the six months ended June 30, 2023 consisted of a net loss of $67.1 million adjusted for non-cash charges of $63.1 million and net cash inflows of $35.5 million from changes in operating assets and liabilities. Customer growth accounted for most of the increase in deferred revenue. Deferred costs decreased primarily due to the amortization of direct and incremental costs of obtaining a customer contract. The increases in prepaid expenses and accrued expenses and other liabilities as well as the decreases in accounts receivable and accounts payable were attributable primarily to the timing of our billings, cash collections, and cash payments.</w:t>
      </w:r>
    </w:p>
    <w:p>
      <w:pPr>
        <w:pStyle w:val="TextBody"/>
        <w:bidi w:val="0"/>
        <w:spacing w:lineRule="auto" w:line="288" w:before="120" w:after="120"/>
        <w:ind w:left="0" w:right="0" w:firstLine="720"/>
        <w:jc w:val="both"/>
        <w:rPr>
          <w:rFonts w:ascii="Times New Roman;sans-serif" w:hAnsi="Times New Roman;sans-serif"/>
          <w:b w:val="false"/>
          <w:i/>
          <w:color w:val="000000"/>
          <w:sz w:val="22"/>
        </w:rPr>
      </w:pPr>
      <w:r>
        <w:rPr>
          <w:rFonts w:ascii="Times New Roman;sans-serif" w:hAnsi="Times New Roman;sans-serif"/>
          <w:b w:val="false"/>
          <w:i/>
          <w:color w:val="000000"/>
          <w:sz w:val="22"/>
        </w:rPr>
        <w:t>Investing Activities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Cash used in investing activities of $26.3 million for the three months ended June 30, 2024 consisted of $98.3 million for the acquisition of Sustain.Life and $35.0 million in purchases of marketable securities partially offset by $107.1 million from the maturities of marketable securities.</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Cash used in investing activities of $22.5 million for the three months ended June 30, 2023 consisted of $51.2 million in purchases of marketable securities and $0.6 million</w:t>
      </w:r>
      <w:r>
        <w:rPr>
          <w:color w:val="000000"/>
        </w:rPr>
        <w:t xml:space="preserve"> </w:t>
      </w:r>
      <w:r>
        <w:rPr>
          <w:rFonts w:ascii="Times New Roman;sans-serif" w:hAnsi="Times New Roman;sans-serif"/>
          <w:b w:val="false"/>
          <w:color w:val="000000"/>
          <w:sz w:val="22"/>
        </w:rPr>
        <w:t>in purchases of fixed assets partially offset by $21.3 million from the sale of marketable securities and $8.0 million from the maturities of marketable securities. Our capital expenditures were associated primarily with computer equipment in support of expanding our infrastructure and work force.</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Cash used in investing activities of $8.9 million for the six months ended June 30, 2024 consisted of $98.3 million for the acquisition of Sustain.Life and $151.6 million in purchases of marketable securities partially offset by $236.7 million from the maturities of marketable securities and $4.6 million from the sale of marketable securities.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Cash used in investing activities of $73.0 million for the six months ended June 30, 2023 consisted of $177.0 million in purchases of marketable securities and $0.8 million in purchases of fixed assets partially offset by $65.1 million from the sale of marketable securities and $39.9 million from the maturities of marketable securities. Our capital expenditures were associated primarily with computer equipment in support of expanding our infrastructure and work force.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firstLine="720"/>
        <w:jc w:val="both"/>
        <w:rPr>
          <w:rFonts w:ascii="Times New Roman;sans-serif" w:hAnsi="Times New Roman;sans-serif"/>
          <w:b w:val="false"/>
          <w:i/>
          <w:color w:val="000000"/>
          <w:sz w:val="22"/>
        </w:rPr>
      </w:pPr>
      <w:r>
        <w:rPr>
          <w:rFonts w:ascii="Times New Roman;sans-serif" w:hAnsi="Times New Roman;sans-serif"/>
          <w:b w:val="false"/>
          <w:i/>
          <w:color w:val="000000"/>
          <w:sz w:val="22"/>
        </w:rPr>
        <w:t>Financing Activities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Cash used in financing activities of $1.5 million for the three months ended June 30, 2024 consisted of $1.6 million in taxes paid related to net share settlements of stock-based compensation awards partially offset by $0.3 million in proceeds from option exercises. </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Cash used in financing activities of $0.6 million for the three months ended June 30, 2023 consisted of $1.2 million in taxes paid related to net share settlements of stock-based compensation awards partially offset by $0.7 million in proceeds from option exercises.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Cash used in financing activities of $2.8 million for the six months ended June 30, 2024 consisted of $10.3 million in taxes paid related to net share settlements of stock-based compensation awards partially offset by $7.1 million in proceeds from shares issued in connection with our employee stock purchase plan and $0.6 million in proceeds from option exercises.</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Cash used in financing activities of $0.9 million</w:t>
      </w:r>
      <w:r>
        <w:rPr>
          <w:color w:val="000000"/>
        </w:rPr>
        <w:t xml:space="preserve"> </w:t>
      </w:r>
      <w:r>
        <w:rPr>
          <w:rFonts w:ascii="Times New Roman;sans-serif" w:hAnsi="Times New Roman;sans-serif"/>
          <w:b w:val="false"/>
          <w:color w:val="000000"/>
          <w:sz w:val="22"/>
        </w:rPr>
        <w:t>for the six months ended June 30, 2023 consisted of $8.4 million in taxes paid related to net share settlements of stock-based compensation awards partially offset by $5.5 million in proceeds from shares issued in connection with our employee stock purchase plan and $2.2 million in proceeds from option exercises.</w:t>
      </w:r>
    </w:p>
    <w:p>
      <w:pPr>
        <w:pStyle w:val="TextBody"/>
        <w:bidi w:val="0"/>
        <w:spacing w:lineRule="auto" w:line="288" w:before="240" w:after="120"/>
        <w:jc w:val="both"/>
        <w:rPr>
          <w:rFonts w:ascii="Times New Roman;sans-serif" w:hAnsi="Times New Roman;sans-serif"/>
          <w:b/>
          <w:i/>
          <w:color w:val="000000"/>
          <w:sz w:val="22"/>
        </w:rPr>
      </w:pPr>
      <w:r>
        <w:rPr>
          <w:rFonts w:ascii="Times New Roman;sans-serif" w:hAnsi="Times New Roman;sans-serif"/>
          <w:b/>
          <w:i/>
          <w:color w:val="000000"/>
          <w:sz w:val="22"/>
        </w:rPr>
        <w:t>Share Repurchase Plan</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On July 30, 2024, our board of directors authorized a share repurchase program for up to $100.0 million of our outstanding Class A common stock (the “2024 Repurchase Plan”). The repurchases may be made in the open market or through privately negotiated transactions, pursuant to Rule 10b5-1 trading plans or other available means, each in compliance with Rule 10b-18 under the Exchange Act. The timing, manner, price, and amount of the repurchase will be subject to the discretion of the Company’s management, and it may be suspended or discontinued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2"/>
        </w:rPr>
      </w:pPr>
      <w:r>
        <w:rPr>
          <w:rFonts w:ascii="Times New Roman;sans-serif" w:hAnsi="Times New Roman;sans-serif"/>
          <w:b/>
          <w:color w:val="000000"/>
          <w:sz w:val="22"/>
        </w:rPr>
        <w:t>Contractual Obligations and Commitments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There were no material changes in our contractual obligations and commitments from those disclosed in the Annual Report on Form 10-K for the year ended December 31, 2023 filed with the SEC on February 20,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2"/>
        </w:rPr>
      </w:pPr>
      <w:r>
        <w:rPr>
          <w:rFonts w:ascii="Times New Roman;sans-serif" w:hAnsi="Times New Roman;sans-serif"/>
          <w:b/>
          <w:color w:val="000000"/>
          <w:sz w:val="22"/>
        </w:rPr>
        <w:t>Critical Accounting Policies and Estimates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Our condensed consolidated financial statements are prepared in accordance with accounting principles generally accepted in the United States. The preparation of these condensed consolidated financial statements requires us to make estimates and assumptions that affect the reported amounts of assets, liabilities, revenue, costs and expenses, income taxes and related disclosures. On an ongoing basis, we evaluate our estimates and assumptions. Our actual results may differ from these estimates under different assumptions or conditions.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During the six months ended June 30, 2024, there were no significant changes to our critical accounting policies and estimates as described in the financial statements contained in the Annual Report on Form 10-K for the year ended December 31, 2023 filed with the SEC on February 20,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2"/>
        </w:rPr>
      </w:pPr>
      <w:r>
        <w:rPr>
          <w:rFonts w:ascii="Times New Roman;sans-serif" w:hAnsi="Times New Roman;sans-serif"/>
          <w:b/>
          <w:color w:val="000000"/>
          <w:sz w:val="22"/>
        </w:rPr>
        <w:t>Item 3.    Quantitative and Qualitative Disclosures about Market Risk    </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For quantitative and qualitative disclosures about market risk, see “Item 7A., Quantitative and Qualitative Disclosures About Market Risk” of our Annual Report on Form 10-K for the year ended December 31, 2023. Our exposures to market risk have not changed materially since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120"/>
        <w:jc w:val="left"/>
        <w:rPr>
          <w:rFonts w:ascii="Times New Roman;sans-serif" w:hAnsi="Times New Roman;sans-serif"/>
          <w:b/>
          <w:color w:val="000000"/>
          <w:sz w:val="22"/>
        </w:rPr>
      </w:pPr>
      <w:r>
        <w:rPr>
          <w:rFonts w:ascii="Times New Roman;sans-serif" w:hAnsi="Times New Roman;sans-serif"/>
          <w:b/>
          <w:color w:val="000000"/>
          <w:sz w:val="22"/>
        </w:rPr>
        <w:t>Item 4.    Controls and Procedures</w:t>
      </w:r>
    </w:p>
    <w:p>
      <w:pPr>
        <w:pStyle w:val="TextBody"/>
        <w:bidi w:val="0"/>
        <w:spacing w:lineRule="auto" w:line="288" w:before="240" w:after="120"/>
        <w:jc w:val="left"/>
        <w:rPr>
          <w:rFonts w:ascii="Times New Roman;sans-serif" w:hAnsi="Times New Roman;sans-serif"/>
          <w:b/>
          <w:color w:val="000000"/>
          <w:sz w:val="22"/>
        </w:rPr>
      </w:pPr>
      <w:r>
        <w:rPr>
          <w:rFonts w:ascii="Times New Roman;sans-serif" w:hAnsi="Times New Roman;sans-serif"/>
          <w:b/>
          <w:color w:val="000000"/>
          <w:sz w:val="22"/>
        </w:rPr>
        <w:t>Evaluation of Disclosure Controls and Procedures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Our management, with the participation of our principal executive officer and principal financial officer, has evaluated the effectiveness of the design and operation of our disclosure controls and procedures (as defined in Rules 13a-15(e) and 15d-15(e) under the Securities Exchange Act of 1934, as amended, or the Exchange Act), as of the end of the period covered by this Quarterly Report on Form 10-Q.</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Based on such evaluation, our principal executive officer and principal financial officer have concluded that as of such date, our disclosure controls and procedures are designed to, and are effective to, provide assurance at a reasonable level that the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disclosures.</w:t>
      </w:r>
    </w:p>
    <w:p>
      <w:pPr>
        <w:pStyle w:val="TextBody"/>
        <w:bidi w:val="0"/>
        <w:spacing w:lineRule="auto" w:line="288" w:before="120" w:after="120"/>
        <w:jc w:val="left"/>
        <w:rPr>
          <w:rFonts w:ascii="Times New Roman;sans-serif" w:hAnsi="Times New Roman;sans-serif"/>
          <w:b/>
          <w:color w:val="000000"/>
          <w:sz w:val="22"/>
        </w:rPr>
      </w:pPr>
      <w:r>
        <w:rPr>
          <w:rFonts w:ascii="Times New Roman;sans-serif" w:hAnsi="Times New Roman;sans-serif"/>
          <w:b/>
          <w:color w:val="000000"/>
          <w:sz w:val="22"/>
        </w:rPr>
        <w:t>Changes in Internal Control Over Financial Reporting</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There were no changes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pStyle w:val="TextBody"/>
        <w:bidi w:val="0"/>
        <w:spacing w:lineRule="auto" w:line="288" w:before="120" w:after="120"/>
        <w:jc w:val="both"/>
        <w:rPr>
          <w:rFonts w:ascii="Times New Roman;sans-serif" w:hAnsi="Times New Roman;sans-serif"/>
          <w:b/>
          <w:color w:val="000000"/>
          <w:sz w:val="22"/>
        </w:rPr>
      </w:pPr>
      <w:r>
        <w:rPr>
          <w:rFonts w:ascii="Times New Roman;sans-serif" w:hAnsi="Times New Roman;sans-serif"/>
          <w:b/>
          <w:color w:val="000000"/>
          <w:sz w:val="22"/>
        </w:rPr>
        <w:t>Limitations on the Effectiveness of Controls and Procedures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120"/>
        <w:jc w:val="center"/>
        <w:rPr>
          <w:rFonts w:ascii="Times New Roman;sans-serif" w:hAnsi="Times New Roman;sans-serif"/>
          <w:b/>
          <w:color w:val="000000"/>
          <w:sz w:val="24"/>
        </w:rPr>
      </w:pPr>
      <w:r>
        <w:rPr>
          <w:rFonts w:ascii="Times New Roman;sans-serif" w:hAnsi="Times New Roman;sans-serif"/>
          <w:b/>
          <w:color w:val="000000"/>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2"/>
        </w:rPr>
      </w:pPr>
      <w:r>
        <w:rPr>
          <w:rFonts w:ascii="Times New Roman;sans-serif" w:hAnsi="Times New Roman;sans-serif"/>
          <w:b/>
          <w:color w:val="000000"/>
          <w:sz w:val="22"/>
        </w:rPr>
        <w:t>Item 1.    Legal Proceedings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From time to time we may become involved in legal proceedings or be subject to claims arising in the ordinary course of our business. We are not presently a party to any legal proceedings that in the opinion of our management, if determined adversely to us, would have a material adverse effect on our business, financial condition, operating results or cash flows.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2"/>
        </w:rPr>
      </w:pPr>
      <w:r>
        <w:rPr>
          <w:rFonts w:ascii="Times New Roman;sans-serif" w:hAnsi="Times New Roman;sans-serif"/>
          <w:b/>
          <w:color w:val="000000"/>
          <w:sz w:val="22"/>
        </w:rPr>
        <w:t>Item 1A. Risk Factors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to the other information set forth in this report, you should carefully consider the factors discussed in Part I, “Item 1A. Risk Factors” in our 2023 Annual Report on Form 10-K, which could materially affect our business, financial condition or future results. There have been no material changes during fiscal year 2024 to the risk factors that were included in the Form 10-K, other than what is set forth immediately below.</w:t>
      </w:r>
    </w:p>
    <w:p>
      <w:pPr>
        <w:pStyle w:val="TextBody"/>
        <w:bidi w:val="0"/>
        <w:spacing w:lineRule="auto" w:line="288" w:before="120" w:after="120"/>
        <w:jc w:val="both"/>
        <w:rPr>
          <w:rFonts w:ascii="Times New Roman;sans-serif" w:hAnsi="Times New Roman;sans-serif"/>
          <w:b/>
          <w:color w:val="000000"/>
          <w:sz w:val="22"/>
        </w:rPr>
      </w:pPr>
      <w:r>
        <w:rPr>
          <w:rFonts w:ascii="Times New Roman;sans-serif" w:hAnsi="Times New Roman;sans-serif"/>
          <w:b/>
          <w:color w:val="000000"/>
          <w:sz w:val="22"/>
        </w:rPr>
        <w:t>Risks Related to Ownership of Our Securities</w:t>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The amount and frequency of our share repurchases may fluctuate, and we cannot guarantee that we will fully consummate our share repurchase authorization, or that it will enhance long-term shareholder value. Share repurchases could also increase the volatility of the trading price of our stock and will diminish our cash reserves.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amount, frequency and execution of our share repurchases pursuant to the 2024 Repurchase Plan may fluctuate based on our operating results, cash flows, priorities for the use of cash for other purposes. These other purposes include, but are not limited to, operational spending, capital spending, acquisitions, and repayment of debt. Other factors, including changes in tax laws, could also impact our share repurchases. Although our board of directors has authorized share repurchases of up to $100.0 million of our outstanding Class A common stock, the authorization does not obligate us to repurchase any common stock, and we may not ultimately purchase any common stock.</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cannot guarantee that our share repurchase authorization pursuant to the 2024 Repurchase Plan will be fully consummated or that it will enhance long-term shareholder value. The repurchase authorization could affect the trading price of our stock and increase volatility. Price volatility may cause the average price at which we repurchase our common stock in a given period to exceed the common stock’s price at a given point in time. There can be no assurance that the time frame for repurchases under our 2024 Repurchase Plan or that any repurchases will have a positive impact on our stock price or earnings per share. Important factors that could cause us to discontinue or decrease our stock repurchases include, among others, unfavorable market conditions, the market price of our common stock, the nature of other investment or strategic opportunities presented to us from time to time and the availability of funds necessary to fulfill such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2"/>
        </w:rPr>
      </w:pPr>
      <w:r>
        <w:rPr>
          <w:rFonts w:ascii="Times New Roman;sans-serif" w:hAnsi="Times New Roman;sans-serif"/>
          <w:b/>
          <w:color w:val="000000"/>
          <w:sz w:val="22"/>
        </w:rPr>
        <w:t>Item 2.    Unregistered Sales of Securities and Use of Proceeds</w:t>
      </w:r>
    </w:p>
    <w:p>
      <w:pPr>
        <w:pStyle w:val="TextBody"/>
        <w:bidi w:val="0"/>
        <w:spacing w:lineRule="auto" w:line="288" w:before="240" w:after="120"/>
        <w:jc w:val="left"/>
        <w:rPr>
          <w:rFonts w:ascii="Times New Roman;sans-serif" w:hAnsi="Times New Roman;sans-serif"/>
          <w:b/>
          <w:color w:val="000000"/>
          <w:sz w:val="22"/>
        </w:rPr>
      </w:pPr>
      <w:r>
        <w:rPr>
          <w:rFonts w:ascii="Times New Roman;sans-serif" w:hAnsi="Times New Roman;sans-serif"/>
          <w:b/>
          <w:color w:val="000000"/>
          <w:sz w:val="22"/>
        </w:rPr>
        <w:t>Sales of Unregistered Securities</w:t>
      </w:r>
    </w:p>
    <w:p>
      <w:pPr>
        <w:pStyle w:val="TextBody"/>
        <w:bidi w:val="0"/>
        <w:spacing w:lineRule="auto" w:line="276"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Not applicable.</w:t>
      </w:r>
    </w:p>
    <w:p>
      <w:pPr>
        <w:pStyle w:val="TextBody"/>
        <w:bidi w:val="0"/>
        <w:spacing w:lineRule="auto" w:line="288" w:before="120" w:after="120"/>
        <w:jc w:val="both"/>
        <w:rPr>
          <w:rFonts w:ascii="Times New Roman;sans-serif" w:hAnsi="Times New Roman;sans-serif"/>
          <w:b/>
          <w:color w:val="000000"/>
          <w:sz w:val="22"/>
        </w:rPr>
      </w:pPr>
      <w:r>
        <w:rPr>
          <w:rFonts w:ascii="Times New Roman;sans-serif" w:hAnsi="Times New Roman;sans-serif"/>
          <w:b/>
          <w:color w:val="000000"/>
          <w:sz w:val="22"/>
        </w:rPr>
        <w:t>Issuer Purchases of Equity Securities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120"/>
        <w:jc w:val="left"/>
        <w:rPr>
          <w:rFonts w:ascii="Times New Roman;sans-serif" w:hAnsi="Times New Roman;sans-serif"/>
          <w:b/>
          <w:color w:val="000000"/>
          <w:sz w:val="22"/>
        </w:rPr>
      </w:pPr>
      <w:r>
        <w:rPr>
          <w:rFonts w:ascii="Times New Roman;sans-serif" w:hAnsi="Times New Roman;sans-serif"/>
          <w:b/>
          <w:color w:val="000000"/>
          <w:sz w:val="22"/>
        </w:rPr>
        <w:t>Item 5.    Other Information</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On July 30, 2024, our board of directors authorized a share repurchase program for up to $100.0 million of our outstanding Class A common stock (the “2024 Repurchase Plan”). The repurchases may be made in the open market or through privately negotiated transactions, pursuant to Rule 10b5-1 trading plans or other available means, each in compliance with Rule 10b-18 under the Exchange Act. The timing, manner, price, and amount of the repurchase will be subject to the discretion of the Company’s management, and it may be suspended or discontinued at any time.</w:t>
      </w:r>
    </w:p>
    <w:p>
      <w:pPr>
        <w:pStyle w:val="TextBody"/>
        <w:bidi w:val="0"/>
        <w:spacing w:lineRule="auto" w:line="288" w:before="240" w:after="120"/>
        <w:jc w:val="left"/>
        <w:rPr>
          <w:rFonts w:ascii="Times New Roman;sans-serif" w:hAnsi="Times New Roman;sans-serif"/>
          <w:b/>
          <w:color w:val="000000"/>
          <w:sz w:val="22"/>
        </w:rPr>
      </w:pPr>
      <w:r>
        <w:rPr>
          <w:rFonts w:ascii="Times New Roman;sans-serif" w:hAnsi="Times New Roman;sans-serif"/>
          <w:b/>
          <w:color w:val="000000"/>
          <w:sz w:val="22"/>
        </w:rPr>
        <w:t>Director and Officer Trading Arrangements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During the three months ended June 30, 2024, no director or officer of the Company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6.    Exhibits</w:t>
      </w:r>
    </w:p>
    <w:p>
      <w:pPr>
        <w:pStyle w:val="TextBody"/>
        <w:bidi w:val="0"/>
        <w:spacing w:lineRule="auto" w:line="276"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exhibits are being filed herewith or incorporated by reference herein:</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56"/>
        <w:gridCol w:w="2643"/>
        <w:gridCol w:w="3768"/>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3768"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Exhibit</w:t>
            </w:r>
          </w:p>
          <w:p>
            <w:pPr>
              <w:pStyle w:val="TableContents"/>
              <w:bidi w:val="0"/>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Agreement and Plan of Merger, dated as of June 17, 2024, by and among the Company, Sustain, Merger Sub and Sellers Representative, incorporated by reference from Exhibit 2.1 to the Company's Current Report on Form 8-K filed on June 17, 2024.</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Workiva Inc. 2014 Equity Incentive Plan (As Amended and Restated May 30, 2024) incorporated by reference from Exhibit 10.1 to the Company's Current Report on Form 8-K filed on June 3, 2024.</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section302xceoc.htm">
              <w:r>
                <w:rPr>
                  <w:rStyle w:val="InternetLink"/>
                  <w:rFonts w:ascii="Times New Roman;sans-serif" w:hAnsi="Times New Roman;sans-serif"/>
                  <w:b w:val="false"/>
                  <w:color w:val="0000FF"/>
                  <w:sz w:val="20"/>
                  <w:u w:val="single"/>
                </w:rPr>
                <w:t>Certification of the Chief Executive Officer, pursuant to Rule 13a-14(a)/15d-14(a), as adopted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section302xcfoc.htm">
              <w:r>
                <w:rPr>
                  <w:rStyle w:val="InternetLink"/>
                  <w:rFonts w:ascii="Times New Roman;sans-serif" w:hAnsi="Times New Roman;sans-serif"/>
                  <w:b w:val="false"/>
                  <w:color w:val="0000FF"/>
                  <w:sz w:val="20"/>
                  <w:u w:val="single"/>
                </w:rPr>
                <w:t>Certification of the Chief Financial Officer, pursuant to Rule 13a-14(a)/15d-14(a), as adopted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section906xceoc.htm">
              <w:r>
                <w:rPr>
                  <w:rStyle w:val="InternetLink"/>
                  <w:rFonts w:ascii="Times New Roman;sans-serif" w:hAnsi="Times New Roman;sans-serif"/>
                  <w:b w:val="false"/>
                  <w:color w:val="0000FF"/>
                  <w:sz w:val="20"/>
                  <w:u w:val="single"/>
                </w:rPr>
                <w:t>Certification of the Chief Executive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section906xcfoc.htm">
              <w:r>
                <w:rPr>
                  <w:rStyle w:val="InternetLink"/>
                  <w:rFonts w:ascii="Times New Roman;sans-serif" w:hAnsi="Times New Roman;sans-serif"/>
                  <w:b w:val="false"/>
                  <w:color w:val="0000FF"/>
                  <w:sz w:val="20"/>
                  <w:u w:val="single"/>
                </w:rPr>
                <w:t>Certification of the Chief Financial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Workiva Inc.'s Quarterly Report on Form 10-Q for the quarter ended June 30, 2024 formatted in Inline XBRL (Extensible Business Reporting Language) includes: (i) the Condensed Consolidated Balance Sheets, (ii) the Condensed Consolidated Statements of Operations, (iii) the Condensed Consolidated Statements of Comprehensive Loss, (iv) the Consolidated Statements of Changes in Stockholders Equity (Deficit), (v) the Condensed Consolidated Statements of Cash Flows, and (vi) Notes to the Condensed Consolidated Financial Statements.</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9b090fa01bc245b1abb3c989299e9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120"/>
        <w:jc w:val="center"/>
        <w:rPr>
          <w:rFonts w:ascii="Times New Roman;sans-serif" w:hAnsi="Times New Roman;sans-serif"/>
          <w:b/>
          <w:color w:val="000000"/>
          <w:sz w:val="24"/>
        </w:rPr>
      </w:pPr>
      <w:r>
        <w:rPr>
          <w:rFonts w:ascii="Times New Roman;sans-serif" w:hAnsi="Times New Roman;sans-serif"/>
          <w:b/>
          <w:color w:val="000000"/>
          <w:sz w:val="24"/>
        </w:rPr>
        <w:t xml:space="preserve">SIGNATURES </w:t>
      </w:r>
    </w:p>
    <w:p>
      <w:pPr>
        <w:pStyle w:val="TextBody"/>
        <w:bidi w:val="0"/>
        <w:spacing w:lineRule="auto" w:line="276"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Section 13 or 15(d) of the Securities Exchange Act of 1934, the Registrant has duly caused this report to be signed on its behalf by the undersigned, thereunto duly authorized on this 1st day of August, 2024.</w:t>
      </w:r>
    </w:p>
    <w:tbl>
      <w:tblPr>
        <w:tblW w:w="6174" w:type="dxa"/>
        <w:jc w:val="right"/>
        <w:tblInd w:w="0" w:type="dxa"/>
        <w:tblLayout w:type="fixed"/>
        <w:tblCellMar>
          <w:top w:w="28" w:type="dxa"/>
          <w:left w:w="28" w:type="dxa"/>
          <w:bottom w:w="28" w:type="dxa"/>
          <w:right w:w="28" w:type="dxa"/>
        </w:tblCellMar>
      </w:tblPr>
      <w:tblGrid>
        <w:gridCol w:w="325"/>
        <w:gridCol w:w="285"/>
        <w:gridCol w:w="285"/>
        <w:gridCol w:w="1534"/>
        <w:gridCol w:w="1534"/>
        <w:gridCol w:w="2211"/>
      </w:tblGrid>
      <w:tr>
        <w:trPr/>
        <w:tc>
          <w:tcPr>
            <w:tcW w:w="3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r>
      <w:tr>
        <w:trPr/>
        <w:tc>
          <w:tcPr>
            <w:tcW w:w="617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WORKIVA INC.</w:t>
            </w:r>
          </w:p>
        </w:tc>
      </w:tr>
      <w:tr>
        <w:trPr/>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By:</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Julie Iskow</w:t>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Julie Iskow</w:t>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By:</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Jill Klindt</w:t>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Jill Klindt</w:t>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Treasurer</w:t>
            </w:r>
          </w:p>
        </w:tc>
      </w:tr>
      <w:tr>
        <w:trPr/>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xbxContent>
                </v:textbox>
                <w10:wrap type="none"/>
              </v:rect>
            </w:pict>
          </mc:Fallback>
        </mc:AlternateConten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UNDER SECTION 302 OF THE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SARBANES-OXLEY ACT OF 2002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Julie Iskow, certify that: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Workiva Inc.;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r>
    </w:p>
    <w:tbl>
      <w:tblPr>
        <w:tblW w:w="4946" w:type="dxa"/>
        <w:jc w:val="right"/>
        <w:tblInd w:w="0" w:type="dxa"/>
        <w:tblLayout w:type="fixed"/>
        <w:tblCellMar>
          <w:top w:w="28" w:type="dxa"/>
          <w:left w:w="28" w:type="dxa"/>
          <w:bottom w:w="28" w:type="dxa"/>
          <w:right w:w="28" w:type="dxa"/>
        </w:tblCellMar>
      </w:tblPr>
      <w:tblGrid>
        <w:gridCol w:w="493"/>
        <w:gridCol w:w="435"/>
        <w:gridCol w:w="437"/>
        <w:gridCol w:w="109"/>
        <w:gridCol w:w="109"/>
        <w:gridCol w:w="109"/>
        <w:gridCol w:w="950"/>
        <w:gridCol w:w="950"/>
        <w:gridCol w:w="13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Julie Iskow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Julie Iskow</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President and Chief Executive Officer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UNDER SECTION 302 OF THE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SARBANES-OXLEY ACT OF 2002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Jill Klindt, certify that: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Workiva Inc.;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r>
    </w:p>
    <w:p>
      <w:pPr>
        <w:pStyle w:val="TextBody"/>
        <w:bidi w:val="0"/>
        <w:spacing w:before="0" w:after="0"/>
        <w:jc w:val="left"/>
        <w:rPr/>
      </w:pPr>
      <w:r>
        <w:rPr/>
      </w:r>
    </w:p>
    <w:tbl>
      <w:tblPr>
        <w:tblW w:w="7017" w:type="dxa"/>
        <w:jc w:val="center"/>
        <w:tblInd w:w="0" w:type="dxa"/>
        <w:tblLayout w:type="fixed"/>
        <w:tblCellMar>
          <w:top w:w="28" w:type="dxa"/>
          <w:left w:w="28" w:type="dxa"/>
          <w:bottom w:w="28" w:type="dxa"/>
          <w:right w:w="28" w:type="dxa"/>
        </w:tblCellMar>
      </w:tblPr>
      <w:tblGrid>
        <w:gridCol w:w="493"/>
        <w:gridCol w:w="435"/>
        <w:gridCol w:w="437"/>
        <w:gridCol w:w="109"/>
        <w:gridCol w:w="109"/>
        <w:gridCol w:w="109"/>
        <w:gridCol w:w="1555"/>
        <w:gridCol w:w="1555"/>
        <w:gridCol w:w="2215"/>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Jill Klindt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Jill Klindt</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Vice President, Chief Financial Officer and Treasurer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UNDER SECTION 906 OF THE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SARBANES-OXLEY ACT OF 2002 </w:t>
      </w:r>
    </w:p>
    <w:p>
      <w:pPr>
        <w:pStyle w:val="TextBody"/>
        <w:bidi w:val="0"/>
        <w:spacing w:before="100" w:after="100"/>
        <w:jc w:val="center"/>
        <w:rPr/>
      </w:pPr>
      <w:r>
        <w:rPr/>
      </w:r>
    </w:p>
    <w:p>
      <w:pPr>
        <w:pStyle w:val="TextBody"/>
        <w:bidi w:val="0"/>
        <w:spacing w:lineRule="auto" w:line="34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Julie Iskow, President and Chief Executive Officer of Workiva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345"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the Company for the period ended June 30, 2024 (the “Report”) fully complies with the requirements of Section 13(a) or 15(d) of the Securities Exchange Act of 1934, as amended; and</w:t>
      </w:r>
    </w:p>
    <w:p>
      <w:pPr>
        <w:pStyle w:val="TextBody"/>
        <w:bidi w:val="0"/>
        <w:spacing w:lineRule="auto" w:line="345"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 for the periods presented therein.</w:t>
      </w:r>
    </w:p>
    <w:p>
      <w:pPr>
        <w:pStyle w:val="TextBody"/>
        <w:bidi w:val="0"/>
        <w:spacing w:before="0" w:after="0"/>
        <w:jc w:val="both"/>
        <w:rPr/>
      </w:pPr>
      <w:r>
        <w:rPr/>
      </w:r>
    </w:p>
    <w:tbl>
      <w:tblPr>
        <w:tblW w:w="4946"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950"/>
        <w:gridCol w:w="950"/>
        <w:gridCol w:w="13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Julie Iskow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Julie Iskow</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President and Chief Executive Officer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UNDER SECTION 906 OF THE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SARBANES-OXLEY ACT OF 2002 </w:t>
      </w:r>
    </w:p>
    <w:p>
      <w:pPr>
        <w:pStyle w:val="TextBody"/>
        <w:bidi w:val="0"/>
        <w:spacing w:before="100" w:after="100"/>
        <w:jc w:val="center"/>
        <w:rPr/>
      </w:pPr>
      <w:r>
        <w:rPr/>
      </w:r>
    </w:p>
    <w:p>
      <w:pPr>
        <w:pStyle w:val="TextBody"/>
        <w:bidi w:val="0"/>
        <w:spacing w:lineRule="auto" w:line="34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Jill Klindt, Executive Vice President, Chief Financial Officer, and Treasurer of Workiva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345"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the Company for the period ended June 30, 2024 (the “Report”) fully complies with the requirements of Section 13(a) or 15(d) of the Securities Exchange Act of 1934, as amended; and</w:t>
      </w:r>
    </w:p>
    <w:p>
      <w:pPr>
        <w:pStyle w:val="TextBody"/>
        <w:bidi w:val="0"/>
        <w:spacing w:lineRule="auto" w:line="345"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 for the periods presented therein.</w:t>
      </w:r>
    </w:p>
    <w:p>
      <w:pPr>
        <w:pStyle w:val="TextBody"/>
        <w:bidi w:val="0"/>
        <w:spacing w:before="0" w:after="0"/>
        <w:jc w:val="both"/>
        <w:rPr/>
      </w:pPr>
      <w:r>
        <w:rPr/>
      </w:r>
    </w:p>
    <w:tbl>
      <w:tblPr>
        <w:tblW w:w="7017" w:type="dxa"/>
        <w:jc w:val="center"/>
        <w:tblInd w:w="0" w:type="dxa"/>
        <w:tblLayout w:type="fixed"/>
        <w:tblCellMar>
          <w:top w:w="28" w:type="dxa"/>
          <w:left w:w="28" w:type="dxa"/>
          <w:bottom w:w="28" w:type="dxa"/>
          <w:right w:w="28" w:type="dxa"/>
        </w:tblCellMar>
      </w:tblPr>
      <w:tblGrid>
        <w:gridCol w:w="493"/>
        <w:gridCol w:w="435"/>
        <w:gridCol w:w="437"/>
        <w:gridCol w:w="109"/>
        <w:gridCol w:w="109"/>
        <w:gridCol w:w="109"/>
        <w:gridCol w:w="1555"/>
        <w:gridCol w:w="1555"/>
        <w:gridCol w:w="2215"/>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Jill Klindt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Jill Klindt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Treasurer</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100" w:after="100"/>
        <w:jc w:val="left"/>
        <w:rPr/>
      </w:pPr>
      <w:r>
        <w:rPr/>
      </w:r>
    </w:p>
    <w:p>
      <w:pPr>
        <w:pStyle w:val="TextBody"/>
        <w:bidi w:val="0"/>
        <w:spacing w:before="100" w:after="10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16793</Words>
  <Characters>93233</Characters>
  <CharactersWithSpaces>108694</CharactersWithSpaces>
  <Paragraphs>2573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