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 xml:space="preserve">FORM </w:t>
      </w:r>
      <w:r>
        <w:rPr>
          <w:rFonts w:ascii="Times New Roman" w:cs="Times New Roman" w:eastAsia="Times New Roman" w:hAnsi="Times New Roman"/>
          <w:sz w:val="32"/>
          <w:szCs w:val="32"/>
          <w:b w:val="1"/>
          <w:bCs w:val="1"/>
          <w:color w:val="auto"/>
        </w:rPr>
        <w:t>10-Q</w:t>
      </w:r>
    </w:p>
    <w:p>
      <w:pPr>
        <w:spacing w:after="0" w:line="9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50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transition period from</w:t>
            </w:r>
          </w:p>
        </w:tc>
        <w:tc>
          <w:tcPr>
            <w:tcW w:w="23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to</w:t>
            </w: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Commission File Number 001-36773</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WORKIVA INC.</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100" w:type="dxa"/>
            <w:vAlign w:val="bottom"/>
            <w:gridSpan w:val="2"/>
            <w:vMerge w:val="restart"/>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47-2509828</w:t>
            </w:r>
          </w:p>
        </w:tc>
        <w:tc>
          <w:tcPr>
            <w:tcW w:w="0" w:type="dxa"/>
            <w:vAlign w:val="bottom"/>
          </w:tcPr>
          <w:p>
            <w:pPr>
              <w:spacing w:after="0"/>
              <w:rPr>
                <w:sz w:val="1"/>
                <w:szCs w:val="1"/>
                <w:color w:val="auto"/>
              </w:rPr>
            </w:pPr>
          </w:p>
        </w:tc>
      </w:tr>
      <w:tr>
        <w:trPr>
          <w:trHeight w:val="162"/>
        </w:trPr>
        <w:tc>
          <w:tcPr>
            <w:tcW w:w="3000" w:type="dxa"/>
            <w:vAlign w:val="bottom"/>
            <w:gridSpan w:val="3"/>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240" w:type="dxa"/>
            <w:vAlign w:val="bottom"/>
            <w:gridSpan w:val="2"/>
          </w:tcPr>
          <w:p>
            <w:pPr>
              <w:jc w:val="center"/>
              <w:ind w:right="820"/>
              <w:spacing w:after="0"/>
              <w:rPr>
                <w:sz w:val="20"/>
                <w:szCs w:val="20"/>
                <w:color w:val="auto"/>
              </w:rPr>
            </w:pPr>
            <w:r>
              <w:rPr>
                <w:rFonts w:ascii="Times New Roman" w:cs="Times New Roman" w:eastAsia="Times New Roman" w:hAnsi="Times New Roman"/>
                <w:sz w:val="16"/>
                <w:szCs w:val="16"/>
                <w:color w:val="auto"/>
              </w:rPr>
              <w:t>organization)</w:t>
            </w:r>
          </w:p>
        </w:tc>
        <w:tc>
          <w:tcPr>
            <w:tcW w:w="4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2900 University Blvd</w:t>
            </w:r>
          </w:p>
        </w:tc>
        <w:tc>
          <w:tcPr>
            <w:tcW w:w="80" w:type="dxa"/>
            <w:vAlign w:val="bottom"/>
          </w:tcPr>
          <w:p>
            <w:pPr>
              <w:spacing w:after="0"/>
              <w:rPr>
                <w:sz w:val="18"/>
                <w:szCs w:val="18"/>
                <w:color w:val="auto"/>
              </w:rPr>
            </w:pPr>
          </w:p>
        </w:tc>
        <w:tc>
          <w:tcPr>
            <w:tcW w:w="30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154"/>
        </w:trPr>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20" w:type="dxa"/>
            <w:vAlign w:val="bottom"/>
            <w:gridSpan w:val="3"/>
          </w:tcPr>
          <w:p>
            <w:pPr>
              <w:jc w:val="center"/>
              <w:ind w:right="1420"/>
              <w:spacing w:after="0" w:line="162" w:lineRule="exact"/>
              <w:rPr>
                <w:sz w:val="20"/>
                <w:szCs w:val="20"/>
                <w:color w:val="auto"/>
              </w:rPr>
            </w:pPr>
            <w:r>
              <w:rPr>
                <w:rFonts w:ascii="Times New Roman" w:cs="Times New Roman" w:eastAsia="Times New Roman" w:hAnsi="Times New Roman"/>
                <w:sz w:val="16"/>
                <w:szCs w:val="16"/>
                <w:b w:val="1"/>
                <w:bCs w:val="1"/>
                <w:color w:val="auto"/>
              </w:rPr>
              <w:t>Ames, IA 50010</w:t>
            </w:r>
          </w:p>
        </w:tc>
        <w:tc>
          <w:tcPr>
            <w:tcW w:w="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(888) 275-3125</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(888) 275-3125</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020" w:type="dxa"/>
            <w:vAlign w:val="bottom"/>
          </w:tcPr>
          <w:p>
            <w:pPr>
              <w:spacing w:after="0"/>
              <w:rPr>
                <w:sz w:val="15"/>
                <w:szCs w:val="15"/>
                <w:color w:val="auto"/>
              </w:rPr>
            </w:pPr>
          </w:p>
        </w:tc>
        <w:tc>
          <w:tcPr>
            <w:tcW w:w="42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3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Class A common stock, par value $.001</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gridSpan w:val="2"/>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w w:val="98"/>
              </w:rPr>
              <w:t>WK</w:t>
            </w:r>
          </w:p>
        </w:tc>
        <w:tc>
          <w:tcPr>
            <w:tcW w:w="8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bl>
    <w:p>
      <w:pPr>
        <w:spacing w:after="0" w:line="195" w:lineRule="exact"/>
        <w:rPr>
          <w:sz w:val="24"/>
          <w:szCs w:val="24"/>
          <w:color w:val="auto"/>
        </w:rPr>
      </w:pPr>
    </w:p>
    <w:p>
      <w:pPr>
        <w:ind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9" w:lineRule="exact"/>
        <w:rPr>
          <w:sz w:val="24"/>
          <w:szCs w:val="24"/>
          <w:color w:val="auto"/>
        </w:rPr>
      </w:pPr>
    </w:p>
    <w:p>
      <w:pPr>
        <w:ind w:right="20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1" w:lineRule="exact"/>
        <w:rPr>
          <w:sz w:val="24"/>
          <w:szCs w:val="24"/>
          <w:color w:val="auto"/>
        </w:rPr>
      </w:pPr>
    </w:p>
    <w:p>
      <w:pPr>
        <w:ind w:right="20" w:firstLine="648"/>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073" w:right="419" w:bottom="1440" w:gutter="0" w:footer="0" w:header="0"/>
        </w:sectPr>
      </w:pPr>
    </w:p>
    <w:p>
      <w:pPr>
        <w:spacing w:after="0" w:line="3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7"/>
          <w:szCs w:val="17"/>
          <w:b w:val="1"/>
          <w:bCs w:val="1"/>
          <w:color w:val="auto"/>
        </w:rPr>
        <w:t>o</w:t>
      </w:r>
    </w:p>
    <w:p>
      <w:pPr>
        <w:spacing w:after="0" w:line="41" w:lineRule="exact"/>
        <w:rPr>
          <w:sz w:val="24"/>
          <w:szCs w:val="24"/>
          <w:color w:val="auto"/>
        </w:rPr>
      </w:pPr>
    </w:p>
    <w:p>
      <w:pPr>
        <w:sectPr>
          <w:pgSz w:w="11900" w:h="16838" w:orient="portrait"/>
          <w:cols w:equalWidth="0" w:num="3">
            <w:col w:w="1480" w:space="160"/>
            <w:col w:w="7180" w:space="720"/>
            <w:col w:w="1620"/>
          </w:cols>
          <w:pgMar w:left="320" w:top="1073" w:right="419" w:bottom="1440" w:gutter="0" w:footer="0" w:header="0"/>
          <w:type w:val="continuous"/>
        </w:sectPr>
      </w:pPr>
    </w:p>
    <w:p>
      <w:pPr>
        <w:spacing w:after="0" w:line="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sectPr>
          <w:pgSz w:w="11900" w:h="16838" w:orient="portrait"/>
          <w:cols w:equalWidth="0" w:num="3">
            <w:col w:w="1400" w:space="200"/>
            <w:col w:w="6540" w:space="720"/>
            <w:col w:w="2300"/>
          </w:cols>
          <w:pgMar w:left="320" w:top="1073" w:right="419" w:bottom="1440" w:gutter="0" w:footer="0" w:header="0"/>
          <w:type w:val="continuous"/>
        </w:sectPr>
      </w:pPr>
    </w:p>
    <w:p>
      <w:pPr>
        <w:ind w:left="88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160"/>
          </w:cols>
          <w:pgMar w:left="320" w:top="1073" w:right="419" w:bottom="1440" w:gutter="0" w:footer="0" w:header="0"/>
          <w:type w:val="continuous"/>
        </w:sectPr>
      </w:pPr>
    </w:p>
    <w:p>
      <w:pPr>
        <w:spacing w:after="0" w:line="257" w:lineRule="exact"/>
        <w:rPr>
          <w:sz w:val="24"/>
          <w:szCs w:val="24"/>
          <w:color w:val="auto"/>
        </w:rPr>
      </w:pPr>
    </w:p>
    <w:p>
      <w:pPr>
        <w:ind w:right="36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73" w:right="419" w:bottom="1440" w:gutter="0" w:footer="0" w:header="0"/>
          <w:type w:val="continuous"/>
        </w:sectPr>
      </w:pPr>
    </w:p>
    <w:bookmarkStart w:id="1" w:name="page2"/>
    <w:bookmarkEnd w:id="1"/>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As of November 1, 2024, there were approximately 51,545,404 shares of the registrant's Class A common stock and 3,845,583 shares of the registrant's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0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WORKIVA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3640" w:type="dxa"/>
            <w:vAlign w:val="bottom"/>
            <w:gridSpan w:val="6"/>
            <w:vMerge w:val="restart"/>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Borders>
              <w:bottom w:val="single" w:sz="8" w:color="0000FF"/>
            </w:tcBorders>
            <w:gridSpan w:val="4"/>
            <w:vMerge w:val="continue"/>
          </w:tcPr>
          <w:p>
            <w:pPr>
              <w:spacing w:after="0"/>
              <w:rPr>
                <w:sz w:val="18"/>
                <w:szCs w:val="18"/>
                <w:color w:val="auto"/>
              </w:rPr>
            </w:pPr>
          </w:p>
        </w:tc>
        <w:tc>
          <w:tcPr>
            <w:tcW w:w="3640" w:type="dxa"/>
            <w:vAlign w:val="bottom"/>
            <w:gridSpan w:val="6"/>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r>
              <w:rPr>
                <w:rFonts w:ascii="Times New Roman" w:cs="Times New Roman" w:eastAsia="Times New Roman" w:hAnsi="Times New Roman"/>
                <w:sz w:val="18"/>
                <w:szCs w:val="18"/>
                <w:color w:val="000000"/>
              </w:rPr>
              <w:t>.</w:t>
            </w:r>
          </w:p>
        </w:tc>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Consolidated Financial Statements:</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w:t>
            </w:r>
          </w:p>
        </w:tc>
        <w:tc>
          <w:tcPr>
            <w:tcW w:w="2560" w:type="dxa"/>
            <w:vAlign w:val="bottom"/>
            <w:gridSpan w:val="4"/>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 September 30, 2024</w:t>
            </w: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70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4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 for the Three and Nine Months Ended</w:t>
            </w: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September 30, 2024 and 2023</w:t>
            </w:r>
          </w:p>
        </w:tc>
        <w:tc>
          <w:tcPr>
            <w:tcW w:w="5660" w:type="dxa"/>
            <w:vAlign w:val="bottom"/>
            <w:tcBorders>
              <w:top w:val="single" w:sz="8" w:color="0000FF"/>
            </w:tcBorders>
            <w:gridSpan w:val="8"/>
          </w:tcPr>
          <w:p>
            <w:pPr>
              <w:spacing w:after="0"/>
              <w:rPr>
                <w:sz w:val="14"/>
                <w:szCs w:val="14"/>
                <w:color w:val="auto"/>
              </w:rPr>
            </w:pPr>
          </w:p>
        </w:tc>
        <w:tc>
          <w:tcPr>
            <w:tcW w:w="88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and Nine Months Ended September 30, 2024 and 2023</w:t>
            </w:r>
          </w:p>
        </w:tc>
        <w:tc>
          <w:tcPr>
            <w:tcW w:w="4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700" w:type="dxa"/>
            <w:vAlign w:val="bottom"/>
            <w:gridSpan w:val="7"/>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2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560" w:type="dxa"/>
            <w:vAlign w:val="bottom"/>
          </w:tcPr>
          <w:p>
            <w:pPr>
              <w:spacing w:after="0"/>
              <w:rPr>
                <w:sz w:val="18"/>
                <w:szCs w:val="18"/>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60" w:type="dxa"/>
            <w:vAlign w:val="bottom"/>
          </w:tcPr>
          <w:p>
            <w:pPr>
              <w:spacing w:after="0"/>
              <w:rPr>
                <w:sz w:val="18"/>
                <w:szCs w:val="18"/>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10"/>
        </w:trPr>
        <w:tc>
          <w:tcPr>
            <w:tcW w:w="1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4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3220" w:type="dxa"/>
            <w:vAlign w:val="bottom"/>
            <w:gridSpan w:val="2"/>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0" w:type="dxa"/>
            <w:vAlign w:val="bottom"/>
            <w:gridSpan w:val="6"/>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S-1</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Certain statements in this Quarterly Report on Form 10-Q are “forward-looking statements” within the meaning of Section 21E of the Securities Exchange Act of 1934, as amended,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2023, in “Item 1A. Risk Factors” in Part II of this Quarterly Report on Form 10-Q and in any subsequent filing we make with the SEC, as well as in any documents incorporated by reference that describe risks and factors that could cause results to differ materially from those projected in these forward-looking statements.</w:t>
      </w:r>
    </w:p>
    <w:p>
      <w:pPr>
        <w:spacing w:after="0" w:line="7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80" w:type="dxa"/>
            <w:vAlign w:val="bottom"/>
            <w:gridSpan w:val="4"/>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80" w:type="dxa"/>
            <w:vAlign w:val="bottom"/>
            <w:gridSpan w:val="4"/>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0" w:type="dxa"/>
            <w:vAlign w:val="bottom"/>
          </w:tcPr>
          <w:p>
            <w:pPr>
              <w:spacing w:after="0"/>
              <w:rPr>
                <w:sz w:val="1"/>
                <w:szCs w:val="1"/>
                <w:color w:val="auto"/>
              </w:rPr>
            </w:pPr>
          </w:p>
        </w:tc>
      </w:tr>
      <w:tr>
        <w:trPr>
          <w:trHeight w:val="232"/>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256,100</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557,622</w:t>
            </w:r>
          </w:p>
        </w:tc>
        <w:tc>
          <w:tcPr>
            <w:tcW w:w="0" w:type="dxa"/>
            <w:vAlign w:val="bottom"/>
          </w:tcPr>
          <w:p>
            <w:pPr>
              <w:spacing w:after="0"/>
              <w:rPr>
                <w:sz w:val="1"/>
                <w:szCs w:val="1"/>
                <w:color w:val="auto"/>
              </w:rPr>
            </w:pPr>
          </w:p>
        </w:tc>
      </w:tr>
      <w:tr>
        <w:trPr>
          <w:trHeight w:val="176"/>
        </w:trPr>
        <w:tc>
          <w:tcPr>
            <w:tcW w:w="6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$1,157 and $1,163 at</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125,193</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costs</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1,008,936</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22,892</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1,218,860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WORKIVA INC.</w:t>
      </w:r>
    </w:p>
    <w:p>
      <w:pPr>
        <w:spacing w:after="0" w:line="1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0" w:type="dxa"/>
            <w:vAlign w:val="bottom"/>
          </w:tcPr>
          <w:p>
            <w:pPr>
              <w:spacing w:after="0"/>
              <w:rPr>
                <w:sz w:val="1"/>
                <w:szCs w:val="1"/>
                <w:color w:val="auto"/>
              </w:rPr>
            </w:pPr>
          </w:p>
        </w:tc>
      </w:tr>
      <w:tr>
        <w:trPr>
          <w:trHeight w:val="232"/>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380,843</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484,500</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senior notes, non-current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762,455</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obligations, non-current</w:t>
            </w:r>
          </w:p>
        </w:tc>
        <w:tc>
          <w:tcPr>
            <w:tcW w:w="1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1,308,250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per share, 1,000,000,000 shares authorized,</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51,526,990 and 50,333,435 shares issued and outstanding at September 30, 2024 and</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68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per share, 500,000,000 shares authorized,</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3,845,583 and 3,845,583 shares issued and outstanding at September 30, 2024 and</w:t>
            </w: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68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per share, 100,000,000 shares authorized, no shares issued</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10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562,942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(652,641)</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(89,390)</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1,218,860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860" w:type="dxa"/>
            <w:vAlign w:val="bottom"/>
          </w:tcPr>
          <w:p>
            <w:pPr>
              <w:spacing w:after="0"/>
              <w:rPr>
                <w:sz w:val="24"/>
                <w:szCs w:val="24"/>
                <w:color w:val="auto"/>
              </w:rPr>
            </w:pPr>
          </w:p>
        </w:tc>
        <w:tc>
          <w:tcPr>
            <w:tcW w:w="6600" w:type="dxa"/>
            <w:vAlign w:val="bottom"/>
            <w:gridSpan w:val="10"/>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60" w:type="dxa"/>
            <w:vAlign w:val="bottom"/>
          </w:tcPr>
          <w:p>
            <w:pPr>
              <w:spacing w:after="0"/>
              <w:rPr>
                <w:sz w:val="16"/>
                <w:szCs w:val="16"/>
                <w:color w:val="auto"/>
              </w:rPr>
            </w:pPr>
          </w:p>
        </w:tc>
        <w:tc>
          <w:tcPr>
            <w:tcW w:w="4760" w:type="dxa"/>
            <w:vAlign w:val="bottom"/>
            <w:gridSpan w:val="7"/>
          </w:tcPr>
          <w:p>
            <w:pPr>
              <w:jc w:val="center"/>
              <w:ind w:left="6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409,857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53,529</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463,386</w:t>
            </w: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347,009</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130,235</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215,168</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432,063</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(85,054)</w:t>
            </w:r>
          </w:p>
        </w:tc>
        <w:tc>
          <w:tcPr>
            <w:tcW w:w="0" w:type="dxa"/>
            <w:vAlign w:val="bottom"/>
          </w:tcPr>
          <w:p>
            <w:pPr>
              <w:spacing w:after="0"/>
              <w:rPr>
                <w:sz w:val="1"/>
                <w:szCs w:val="1"/>
                <w:color w:val="auto"/>
              </w:rPr>
            </w:pPr>
          </w:p>
        </w:tc>
      </w:tr>
      <w:tr>
        <w:trPr>
          <w:trHeight w:val="229"/>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(50,437)</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75"/>
        </w:trPr>
        <w:tc>
          <w:tcPr>
            <w:tcW w:w="422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55,581,841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54,256,941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55,226,254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53,987,791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2"/>
        </w:trPr>
        <w:tc>
          <w:tcPr>
            <w:tcW w:w="9600" w:type="dxa"/>
            <w:vAlign w:val="bottom"/>
            <w:gridSpan w:val="11"/>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4"/>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4"/>
          </w:tcPr>
          <w:p>
            <w:pPr>
              <w:jc w:val="center"/>
              <w:ind w:left="150"/>
              <w:spacing w:after="0" w:line="18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1"/>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1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2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(123,329)</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(123,038)</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WORKIVA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Borders>
              <w:top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 (Class A and B)</w:t>
            </w:r>
          </w:p>
        </w:tc>
        <w:tc>
          <w:tcPr>
            <w:tcW w:w="14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6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4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6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92"/>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54,179</w:t>
            </w:r>
          </w:p>
        </w:tc>
        <w:tc>
          <w:tcPr>
            <w:tcW w:w="120" w:type="dxa"/>
            <w:vAlign w:val="bottom"/>
          </w:tcPr>
          <w:p>
            <w:pPr>
              <w:spacing w:after="0"/>
              <w:rPr>
                <w:sz w:val="16"/>
                <w:szCs w:val="16"/>
                <w:color w:val="auto"/>
              </w:rPr>
            </w:pPr>
          </w:p>
        </w:tc>
        <w:tc>
          <w:tcPr>
            <w:tcW w:w="60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March 31, 2024</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54,785</w:t>
            </w:r>
          </w:p>
        </w:tc>
        <w:tc>
          <w:tcPr>
            <w:tcW w:w="12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June 30, 2024</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54,914</w:t>
            </w:r>
          </w:p>
        </w:tc>
        <w:tc>
          <w:tcPr>
            <w:tcW w:w="12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55,373</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-2716530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562,942</w:t>
            </w: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(652,641)</w:t>
            </w:r>
          </w:p>
        </w:tc>
        <w:tc>
          <w:tcPr>
            <w:tcW w:w="140" w:type="dxa"/>
            <w:vAlign w:val="bottom"/>
          </w:tcPr>
          <w:p>
            <w:pPr>
              <w:spacing w:after="0"/>
              <w:rPr>
                <w:sz w:val="16"/>
                <w:szCs w:val="16"/>
                <w:color w:val="auto"/>
              </w:rPr>
            </w:pPr>
          </w:p>
        </w:tc>
        <w:tc>
          <w:tcPr>
            <w:tcW w:w="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(89,390)</w:t>
            </w:r>
          </w:p>
        </w:tc>
        <w:tc>
          <w:tcPr>
            <w:tcW w:w="0" w:type="dxa"/>
            <w:vAlign w:val="bottom"/>
          </w:tcPr>
          <w:p>
            <w:pPr>
              <w:spacing w:after="0"/>
              <w:rPr>
                <w:sz w:val="1"/>
                <w:szCs w:val="1"/>
                <w:color w:val="auto"/>
              </w:rPr>
            </w:pPr>
          </w:p>
        </w:tc>
      </w:tr>
      <w:tr>
        <w:trPr>
          <w:trHeight w:val="19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23,007</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23,007</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301</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7,113</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(8,611)</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584,752</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(664,328)</w:t>
            </w:r>
          </w:p>
        </w:tc>
        <w:tc>
          <w:tcPr>
            <w:tcW w:w="14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(83,156)</w:t>
            </w:r>
          </w:p>
        </w:tc>
        <w:tc>
          <w:tcPr>
            <w:tcW w:w="0" w:type="dxa"/>
            <w:vAlign w:val="bottom"/>
          </w:tcPr>
          <w:p>
            <w:pPr>
              <w:spacing w:after="0"/>
              <w:rPr>
                <w:sz w:val="1"/>
                <w:szCs w:val="1"/>
                <w:color w:val="auto"/>
              </w:rPr>
            </w:pPr>
          </w:p>
        </w:tc>
      </w:tr>
      <w:tr>
        <w:trPr>
          <w:trHeight w:val="19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25,402</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25,402</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290</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(1,640)</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(17,548)</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608,804</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(681,876)</w:t>
            </w:r>
          </w:p>
        </w:tc>
        <w:tc>
          <w:tcPr>
            <w:tcW w:w="14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(77,747)</w:t>
            </w:r>
          </w:p>
        </w:tc>
        <w:tc>
          <w:tcPr>
            <w:tcW w:w="0" w:type="dxa"/>
            <w:vAlign w:val="bottom"/>
          </w:tcPr>
          <w:p>
            <w:pPr>
              <w:spacing w:after="0"/>
              <w:rPr>
                <w:sz w:val="1"/>
                <w:szCs w:val="1"/>
                <w:color w:val="auto"/>
              </w:rPr>
            </w:pPr>
          </w:p>
        </w:tc>
      </w:tr>
      <w:tr>
        <w:trPr>
          <w:trHeight w:val="193"/>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27,470</w:t>
            </w:r>
          </w:p>
        </w:tc>
        <w:tc>
          <w:tcPr>
            <w:tcW w:w="4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27,470</w:t>
            </w:r>
          </w:p>
        </w:tc>
        <w:tc>
          <w:tcPr>
            <w:tcW w:w="0" w:type="dxa"/>
            <w:vAlign w:val="bottom"/>
          </w:tcPr>
          <w:p>
            <w:pPr>
              <w:spacing w:after="0"/>
              <w:rPr>
                <w:sz w:val="1"/>
                <w:szCs w:val="1"/>
                <w:color w:val="auto"/>
              </w:rPr>
            </w:pPr>
          </w:p>
        </w:tc>
      </w:tr>
      <w:tr>
        <w:trPr>
          <w:trHeight w:val="338"/>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3,273</w:t>
            </w:r>
          </w:p>
        </w:tc>
        <w:tc>
          <w:tcPr>
            <w:tcW w:w="4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0" w:type="dxa"/>
            <w:vAlign w:val="bottom"/>
          </w:tcPr>
          <w:p>
            <w:pPr>
              <w:spacing w:after="0"/>
              <w:rPr>
                <w:sz w:val="1"/>
                <w:szCs w:val="1"/>
                <w:color w:val="auto"/>
              </w:rPr>
            </w:pPr>
          </w:p>
        </w:tc>
      </w:tr>
      <w:tr>
        <w:trPr>
          <w:trHeight w:val="338"/>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6,709</w:t>
            </w:r>
          </w:p>
        </w:tc>
        <w:tc>
          <w:tcPr>
            <w:tcW w:w="4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0" w:type="dxa"/>
            <w:vAlign w:val="bottom"/>
          </w:tcPr>
          <w:p>
            <w:pPr>
              <w:spacing w:after="0"/>
              <w:rPr>
                <w:sz w:val="1"/>
                <w:szCs w:val="1"/>
                <w:color w:val="auto"/>
              </w:rPr>
            </w:pPr>
          </w:p>
        </w:tc>
      </w:tr>
      <w:tr>
        <w:trPr>
          <w:trHeight w:val="203"/>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(1,173)</w:t>
            </w:r>
          </w:p>
        </w:tc>
        <w:tc>
          <w:tcPr>
            <w:tcW w:w="4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0" w:type="dxa"/>
            <w:vAlign w:val="bottom"/>
          </w:tcPr>
          <w:p>
            <w:pPr>
              <w:spacing w:after="0"/>
              <w:rPr>
                <w:sz w:val="1"/>
                <w:szCs w:val="1"/>
                <w:color w:val="auto"/>
              </w:rPr>
            </w:pPr>
          </w:p>
        </w:tc>
      </w:tr>
      <w:tr>
        <w:trPr>
          <w:trHeight w:val="203"/>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(16,992)</w:t>
            </w:r>
          </w:p>
        </w:tc>
        <w:tc>
          <w:tcPr>
            <w:tcW w:w="0" w:type="dxa"/>
            <w:vAlign w:val="bottom"/>
          </w:tcPr>
          <w:p>
            <w:pPr>
              <w:spacing w:after="0"/>
              <w:rPr>
                <w:sz w:val="1"/>
                <w:szCs w:val="1"/>
                <w:color w:val="auto"/>
              </w:rPr>
            </w:pPr>
          </w:p>
        </w:tc>
      </w:tr>
      <w:tr>
        <w:trPr>
          <w:trHeight w:val="203"/>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645,083</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0" w:type="dxa"/>
            <w:vAlign w:val="bottom"/>
            <w:vMerge w:val="continue"/>
          </w:tcPr>
          <w:p>
            <w:pPr>
              <w:spacing w:after="0"/>
              <w:rPr>
                <w:sz w:val="14"/>
                <w:szCs w:val="14"/>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(698,868)</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-33655</wp:posOffset>
            </wp:positionV>
            <wp:extent cx="831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-7620</wp:posOffset>
            </wp:positionV>
            <wp:extent cx="831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-153670</wp:posOffset>
            </wp:positionV>
            <wp:extent cx="831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-1542415</wp:posOffset>
            </wp:positionV>
            <wp:extent cx="831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680"/>
            <w:col w:w="48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WORKIVA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 (continued)</w:t>
      </w:r>
    </w:p>
    <w:p>
      <w:pPr>
        <w:spacing w:after="0" w:line="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Borders>
              <w:top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 (Class A and B)</w:t>
            </w:r>
          </w:p>
        </w:tc>
        <w:tc>
          <w:tcPr>
            <w:tcW w:w="148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3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center"/>
              <w:ind w:left="8"/>
              <w:spacing w:after="0" w:line="122"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2900" w:type="dxa"/>
            <w:vAlign w:val="bottom"/>
          </w:tcPr>
          <w:p>
            <w:pPr>
              <w:ind w:left="1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4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 Loss  Accumulated Deficit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92"/>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52,652</w:t>
            </w:r>
          </w:p>
        </w:tc>
        <w:tc>
          <w:tcPr>
            <w:tcW w:w="120" w:type="dxa"/>
            <w:vAlign w:val="bottom"/>
          </w:tcPr>
          <w:p>
            <w:pPr>
              <w:spacing w:after="0"/>
              <w:rPr>
                <w:sz w:val="16"/>
                <w:szCs w:val="16"/>
                <w:color w:val="auto"/>
              </w:rPr>
            </w:pPr>
          </w:p>
        </w:tc>
        <w:tc>
          <w:tcPr>
            <w:tcW w:w="60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March 31, 2023</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53,232</w:t>
            </w:r>
          </w:p>
        </w:tc>
        <w:tc>
          <w:tcPr>
            <w:tcW w:w="12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June 30, 2023</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53,533</w:t>
            </w:r>
          </w:p>
        </w:tc>
        <w:tc>
          <w:tcPr>
            <w:tcW w:w="12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related to net share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settlements of stock-based compensation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7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Induced conversion of convertible senior</w:t>
            </w:r>
          </w:p>
        </w:tc>
        <w:tc>
          <w:tcPr>
            <w:tcW w:w="14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w:t>
            </w:r>
          </w:p>
        </w:tc>
        <w:tc>
          <w:tcPr>
            <w:tcW w:w="14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Balances at September 30,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54,019</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-4070985</wp:posOffset>
            </wp:positionV>
            <wp:extent cx="7132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-3642360</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537,732</w:t>
            </w: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12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(525,116)</w:t>
            </w: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0" w:type="dxa"/>
            <w:vAlign w:val="bottom"/>
          </w:tcPr>
          <w:p>
            <w:pPr>
              <w:spacing w:after="0"/>
              <w:rPr>
                <w:sz w:val="1"/>
                <w:szCs w:val="1"/>
                <w:color w:val="auto"/>
              </w:rPr>
            </w:pPr>
          </w:p>
        </w:tc>
      </w:tr>
      <w:tr>
        <w:trPr>
          <w:trHeight w:val="19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38,042</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38,042</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1,457</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5,546</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(7,228)</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(46,150)</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575,549</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(571,266)</w:t>
            </w:r>
          </w:p>
        </w:tc>
        <w:tc>
          <w:tcPr>
            <w:tcW w:w="14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9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20,610</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20,610</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746</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(1,212)</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(20,910)</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595,693</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(592,176)</w:t>
            </w:r>
          </w:p>
        </w:tc>
        <w:tc>
          <w:tcPr>
            <w:tcW w:w="14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19,377</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19,377</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1,120</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0" w:type="dxa"/>
            <w:vAlign w:val="bottom"/>
          </w:tcPr>
          <w:p>
            <w:pPr>
              <w:spacing w:after="0"/>
              <w:rPr>
                <w:sz w:val="1"/>
                <w:szCs w:val="1"/>
                <w:color w:val="auto"/>
              </w:rPr>
            </w:pPr>
          </w:p>
        </w:tc>
      </w:tr>
      <w:tr>
        <w:trPr>
          <w:trHeight w:val="338"/>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6,967</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6"/>
        </w:trPr>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(984)</w:t>
            </w:r>
          </w:p>
        </w:tc>
        <w:tc>
          <w:tcPr>
            <w:tcW w:w="4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337"/>
        </w:trPr>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(81,080)</w:t>
            </w:r>
          </w:p>
        </w:tc>
        <w:tc>
          <w:tcPr>
            <w:tcW w:w="48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(81,080)</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(56,269)</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(56,269)</w:t>
            </w:r>
          </w:p>
        </w:tc>
        <w:tc>
          <w:tcPr>
            <w:tcW w:w="0" w:type="dxa"/>
            <w:vAlign w:val="bottom"/>
          </w:tcPr>
          <w:p>
            <w:pPr>
              <w:spacing w:after="0"/>
              <w:rPr>
                <w:sz w:val="1"/>
                <w:szCs w:val="1"/>
                <w:color w:val="auto"/>
              </w:rPr>
            </w:pPr>
          </w:p>
        </w:tc>
      </w:tr>
      <w:tr>
        <w:trPr>
          <w:trHeight w:val="203"/>
        </w:trPr>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23"/>
        </w:trPr>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541,093</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(648,445)</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(113,693)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-7620</wp:posOffset>
            </wp:positionV>
            <wp:extent cx="8312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-1773555</wp:posOffset>
            </wp:positionV>
            <wp:extent cx="831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680"/>
            <w:col w:w="4840"/>
          </w:cols>
          <w:pgMar w:left="320" w:top="121" w:right="3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WORKIVA INC.</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640" w:type="dxa"/>
            <w:vAlign w:val="bottom"/>
            <w:gridSpan w:val="10"/>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0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(123,329)</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to net cash provided by</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Accretion of premiums and discounts on marketable</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net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Induced conversion expense</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loss on sale of available-for-sale securities, net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costs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46,533</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(322,008)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76,811</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6"/>
              </w:rPr>
              <w:t>WORKIVA INC.</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51"/>
        </w:trPr>
        <w:tc>
          <w:tcPr>
            <w:tcW w:w="9640" w:type="dxa"/>
            <w:vAlign w:val="bottom"/>
            <w:gridSpan w:val="7"/>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(continued)</w:t>
            </w:r>
          </w:p>
        </w:tc>
        <w:tc>
          <w:tcPr>
            <w:tcW w:w="1580" w:type="dxa"/>
            <w:vAlign w:val="bottom"/>
          </w:tcPr>
          <w:p>
            <w:pPr>
              <w:spacing w:after="0"/>
              <w:rPr>
                <w:sz w:val="24"/>
                <w:szCs w:val="24"/>
                <w:color w:val="auto"/>
              </w:rPr>
            </w:pPr>
          </w:p>
        </w:tc>
      </w:tr>
      <w:tr>
        <w:trPr>
          <w:trHeight w:val="189"/>
        </w:trPr>
        <w:tc>
          <w:tcPr>
            <w:tcW w:w="4700" w:type="dxa"/>
            <w:vAlign w:val="bottom"/>
          </w:tcPr>
          <w:p>
            <w:pPr>
              <w:spacing w:after="0"/>
              <w:rPr>
                <w:sz w:val="16"/>
                <w:szCs w:val="16"/>
                <w:color w:val="auto"/>
              </w:rPr>
            </w:pPr>
          </w:p>
        </w:tc>
        <w:tc>
          <w:tcPr>
            <w:tcW w:w="1640" w:type="dxa"/>
            <w:vAlign w:val="bottom"/>
            <w:gridSpan w:val="2"/>
          </w:tcPr>
          <w:p>
            <w:pPr>
              <w:jc w:val="center"/>
              <w:ind w:left="90"/>
              <w:spacing w:after="0" w:line="18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4700" w:type="dxa"/>
            <w:vAlign w:val="bottom"/>
          </w:tcPr>
          <w:p>
            <w:pPr>
              <w:spacing w:after="0"/>
              <w:rPr>
                <w:sz w:val="20"/>
                <w:szCs w:val="20"/>
                <w:color w:val="auto"/>
              </w:rPr>
            </w:pP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8"/>
        </w:trPr>
        <w:tc>
          <w:tcPr>
            <w:tcW w:w="4700" w:type="dxa"/>
            <w:vAlign w:val="bottom"/>
          </w:tcPr>
          <w:p>
            <w:pPr>
              <w:spacing w:after="0"/>
              <w:rPr>
                <w:sz w:val="20"/>
                <w:szCs w:val="20"/>
                <w:color w:val="auto"/>
              </w:rPr>
            </w:pPr>
          </w:p>
        </w:tc>
        <w:tc>
          <w:tcPr>
            <w:tcW w:w="32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7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176"/>
        </w:trPr>
        <w:tc>
          <w:tcPr>
            <w:tcW w:w="47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Taxes paid related to net share settlements of stock-based</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awards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w:t>
            </w:r>
          </w:p>
        </w:tc>
      </w:tr>
      <w:tr>
        <w:trPr>
          <w:trHeight w:val="175"/>
        </w:trPr>
        <w:tc>
          <w:tcPr>
            <w:tcW w:w="4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shares issued in connection with employee</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purchase plan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w:t>
            </w:r>
          </w:p>
        </w:tc>
      </w:tr>
      <w:tr>
        <w:trPr>
          <w:trHeight w:val="175"/>
        </w:trPr>
        <w:tc>
          <w:tcPr>
            <w:tcW w:w="47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the issuance of convertible senior notes, net of</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costs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691,113</w:t>
            </w: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691,113</w:t>
            </w: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repurchase of convertible senior notes</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(396,869)</w:t>
            </w:r>
          </w:p>
        </w:tc>
        <w:tc>
          <w:tcPr>
            <w:tcW w:w="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(396,869)</w:t>
            </w: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301,220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300,281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52"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p>
      <w:pPr>
        <w:spacing w:after="0" w:line="10" w:lineRule="exact"/>
        <w:rPr>
          <w:sz w:val="20"/>
          <w:szCs w:val="20"/>
          <w:color w:val="auto"/>
        </w:rPr>
      </w:pPr>
    </w:p>
    <w:p>
      <w:pPr>
        <w:ind w:left="20" w:right="640"/>
        <w:spacing w:after="0" w:line="237" w:lineRule="auto"/>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p>
      <w:pPr>
        <w:spacing w:after="0" w:line="23"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18"/>
          <w:szCs w:val="18"/>
          <w:color w:val="auto"/>
        </w:rPr>
        <w:t>Cash, cash equivalents, and restricted cash at end of period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(19,658)</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205,946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164,688</w:t>
            </w:r>
          </w:p>
        </w:tc>
      </w:tr>
      <w:tr>
        <w:trPr>
          <w:trHeight w:val="4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268,412</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240,197</w:t>
            </w:r>
          </w:p>
        </w:tc>
      </w:t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248,754</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248,754</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404,885</w:t>
            </w:r>
          </w:p>
        </w:tc>
      </w:tr>
      <w:tr>
        <w:trPr>
          <w:trHeight w:val="20"/>
        </w:trPr>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-719455</wp:posOffset>
            </wp:positionV>
            <wp:extent cx="7115175"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1517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40"/>
          </w:cols>
          <w:pgMar w:left="320" w:top="121" w:right="35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 the consolidated balance sheets</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248,239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248,239</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404,885</w:t>
            </w: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cash included within prepaid expenses and other</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end of period</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7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at end of period</w:t>
            </w:r>
          </w:p>
        </w:tc>
        <w:tc>
          <w:tcPr>
            <w:tcW w:w="500" w:type="dxa"/>
            <w:vAlign w:val="bottom"/>
            <w:tcBorders>
              <w:top w:val="single" w:sz="8" w:color="auto"/>
            </w:tcBorders>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248,754</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404,885</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248,754</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404,885</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shown in the consolidated statements of cash flows</w:t>
            </w: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WORKIVA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Organization</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Workiva Inc., a Delaware corporation, and its wholly-owned subsidiaries (the “Company” or “we” or “us”) provides software solutions to bring customers’ financial reporting, Governance, Risk, and Compliance (“GRC”) and Environmental, Social, and Governance (“ESG”) data together in a controlled, secure, audit-ready platform. Our platform simplifies the most complex reporting and disclosure challenges by streamlining processes, connecting data and teams, and ensuring consistency. Our operational headquarters are located in Ames, Iowa, with additional offices located in the United States, Europe, the Asia-Pacific region and Canada.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1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financial information presented in the accompanying unaudited condensed consolidated financial statements has been prepared in accordance with U.S. generally accepted accounting principles (“U.S. GAAP”) and in accordance with rules and regulations of the U.S. Securities and Exchange Commission (“SEC”) regarding interim financial reporting. The condensed consolidated balance sheet data as of December 31, 2023 was derived from audited financial statements, but does not include all disclosures required by U.S. GAAP. In the opinion of management, the accompanying unaudited condensed consolidated financial statements reflect all adjustments, consisting primarily of normal recurring accruals, necessary for a fair presentation of our financial position and results of operations. The operating results for the three and nine months ended September 30, 2024 are not necessarily indicative of the results expected for the full year ending December 31, 2024.</w:t>
      </w:r>
    </w:p>
    <w:p>
      <w:pPr>
        <w:spacing w:after="0" w:line="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Seasonality affects our revenue, expenses and cash flows from operations. Revenue from professional services is generally higher in the first quarter as many of our customers file their 10-K in the first calendar quarter. Our sales and marketing expense also has some degree of seasonality. Sales and marketing expenses have historically been higher in the third quarter due to our annual user conference in September. In addition, the timing of cash bonus payments to employees during the first and fourth calendar quarters may result in some seasonality in operating cash flow. The condensed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2023 filed with the SEC on February 20, 2024.</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unaudited condensed consolidated financial statements include the accounts of Workiva Inc. and its wholly-owned subsidiaries.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accounting principles generally accepted in the United States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Pronouncements Not Yet Adopted</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which expands disclosures about a public entity’s reportable segments and requires more enhanced information about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reportable segment’s expenses, interim segment profit or loss, and how a public entity’s chief operating decision maker uses reported segment profit or loss information in assessing segment performance and allocating resources. The standard is effective for annual periods beginning after December 15, 2023, with early adoption permitted. We do not believe the adoption of this standard will have a material impact on our consolidated financial statements and related disclosures.</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which expands disclosures in an entity’s income tax rate reconciliation table and regarding cash taxes paid both in the U.S. and foreign jurisdictions. The standard is effective for annual periods beginning after December 15, 2024, with early adoption permitted. We are assessing the effect of adopting this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400" w:firstLine="8"/>
        <w:spacing w:after="0" w:line="380" w:lineRule="auto"/>
        <w:tabs>
          <w:tab w:leader="none" w:pos="198"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Supplemental Consolidated Balance Sheet Information </w:t>
      </w:r>
      <w:r>
        <w:rPr>
          <w:rFonts w:ascii="Times New Roman" w:cs="Times New Roman" w:eastAsia="Times New Roman" w:hAnsi="Times New Roman"/>
          <w:sz w:val="19"/>
          <w:szCs w:val="19"/>
          <w:b w:val="1"/>
          <w:bCs w:val="1"/>
          <w:i w:val="1"/>
          <w:iCs w:val="1"/>
          <w:color w:val="auto"/>
        </w:rPr>
        <w:t>Accrued Expenses and Other Current Liabilities</w:t>
      </w:r>
    </w:p>
    <w:p>
      <w:pPr>
        <w:ind w:left="6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Accrued expenses and other current liabilities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health insurance claims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employee contributions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24,763</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w:t>
            </w:r>
          </w:p>
        </w:tc>
      </w:tr>
      <w:tr>
        <w:trPr>
          <w:trHeight w:val="248"/>
        </w:trPr>
        <w:tc>
          <w:tcPr>
            <w:tcW w:w="6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Cash Equivalents and Marketable Securities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September 30, 2024, cash equivalents and marketable securities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4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635,597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637,811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Included in marketable securities</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525,903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2,262</w:t>
            </w:r>
          </w:p>
        </w:tc>
        <w:tc>
          <w:tcPr>
            <w:tcW w:w="120" w:type="dxa"/>
            <w:vAlign w:val="bottom"/>
          </w:tcPr>
          <w:p>
            <w:pPr>
              <w:spacing w:after="0"/>
              <w:rPr>
                <w:sz w:val="17"/>
                <w:szCs w:val="17"/>
                <w:color w:val="auto"/>
              </w:rPr>
            </w:pPr>
          </w:p>
        </w:tc>
        <w:tc>
          <w:tcPr>
            <w:tcW w:w="60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528,115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December 31, 2023, cash equivalents and marketable securities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4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debt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Included in cash and cash equivalents</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108,826</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108,826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557,622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contractual maturities of the investments classified as marketable securities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4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179,613</w:t>
            </w:r>
          </w:p>
        </w:tc>
      </w:tr>
      <w:tr>
        <w:trPr>
          <w:trHeight w:val="223"/>
        </w:trPr>
        <w:tc>
          <w:tcPr>
            <w:tcW w:w="78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528,115</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presents gross unrealized losses and fair values for those cash equivalents and marketable securities that were in an unrealized loss position as of September 30, 2024, aggregated by investment category and the length of time that individual securities have been in a continuous loss position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0" w:type="dxa"/>
            <w:vAlign w:val="bottom"/>
          </w:tcPr>
          <w:p>
            <w:pPr>
              <w:spacing w:after="0"/>
              <w:rPr>
                <w:sz w:val="19"/>
                <w:szCs w:val="19"/>
                <w:color w:val="auto"/>
              </w:rPr>
            </w:pPr>
          </w:p>
        </w:tc>
        <w:tc>
          <w:tcPr>
            <w:tcW w:w="28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r>
      <w:tr>
        <w:trPr>
          <w:trHeight w:val="223"/>
        </w:trPr>
        <w:tc>
          <w:tcPr>
            <w:tcW w:w="5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Unrealized Loss</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Unrealized Loss</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do not believe the unrealized losses represent credit losses based on our evaluation of available evidence as of September 30, 2024, which includes an assessment of whether it is more likely than not we will be required to sell the investment before recovery of the investment's amortized cost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1 - Inputs are unadjusted quoted prices in active markets for identical assets or liabilities.</w:t>
      </w:r>
    </w:p>
    <w:p>
      <w:pPr>
        <w:spacing w:after="0" w:line="121" w:lineRule="exact"/>
        <w:rPr>
          <w:sz w:val="20"/>
          <w:szCs w:val="20"/>
          <w:color w:val="auto"/>
        </w:rPr>
      </w:pPr>
    </w:p>
    <w:p>
      <w:pPr>
        <w:jc w:val="both"/>
        <w:ind w:left="1460" w:hanging="809"/>
        <w:spacing w:after="0" w:line="261" w:lineRule="auto"/>
        <w:rPr>
          <w:sz w:val="20"/>
          <w:szCs w:val="20"/>
          <w:color w:val="auto"/>
        </w:rPr>
      </w:pPr>
      <w:r>
        <w:rPr>
          <w:rFonts w:ascii="Times New Roman" w:cs="Times New Roman" w:eastAsia="Times New Roman" w:hAnsi="Times New Roman"/>
          <w:sz w:val="20"/>
          <w:szCs w:val="20"/>
          <w:color w:val="auto"/>
        </w:rPr>
        <w:t>Level 2 -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are unobservable inputs based on our assumptions.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Assets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w:t>
      </w:r>
    </w:p>
    <w:p>
      <w:pPr>
        <w:spacing w:after="0" w:line="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September 30, 2024, all of our marketable securities were valued using quoted prices for comparable instruments in active markets and are classified as Level 2.</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200" w:type="dxa"/>
            <w:vAlign w:val="bottom"/>
          </w:tcPr>
          <w:p>
            <w:pPr>
              <w:spacing w:after="0"/>
              <w:rPr>
                <w:sz w:val="18"/>
                <w:szCs w:val="18"/>
                <w:color w:val="auto"/>
              </w:rPr>
            </w:pPr>
          </w:p>
        </w:tc>
        <w:tc>
          <w:tcPr>
            <w:tcW w:w="296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as of</w:t>
            </w:r>
          </w:p>
        </w:tc>
      </w:t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800" w:type="dxa"/>
            <w:vAlign w:val="bottom"/>
            <w:tcBorders>
              <w:bottom w:val="single" w:sz="8" w:color="auto"/>
            </w:tcBorders>
          </w:tcPr>
          <w:p>
            <w:pPr>
              <w:spacing w:after="0"/>
              <w:rPr>
                <w:sz w:val="20"/>
                <w:szCs w:val="20"/>
                <w:color w:val="auto"/>
              </w:rPr>
            </w:pPr>
          </w:p>
        </w:tc>
      </w:tr>
      <w:tr>
        <w:trPr>
          <w:trHeight w:val="22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23"/>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56,115</w:t>
            </w: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224,587</w:t>
            </w: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110,277</w:t>
            </w: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w:t>
            </w: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government debt securities</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48"/>
        </w:trPr>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557,622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September 30, 2024, the fair value of our convertible senior notes due in 2026 and 2028 was $82.4 million and $659.7 million, respectively. The fair value was determined based on the quoted price of the convertible senior notes in an over-the-counter market on the last trading day of the reporting period and has been classified as Level 2 in the fair value hierarchy. See Note 5 to the condensed consolidated financial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Convertible Senior Notes</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presents details of our convertible senior notes, which are further discussed below (original principal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60" w:type="dxa"/>
            <w:vAlign w:val="bottom"/>
          </w:tcPr>
          <w:p>
            <w:pPr>
              <w:spacing w:after="0"/>
              <w:rPr>
                <w:sz w:val="16"/>
                <w:szCs w:val="16"/>
                <w:color w:val="auto"/>
              </w:rPr>
            </w:pPr>
          </w:p>
        </w:tc>
        <w:tc>
          <w:tcPr>
            <w:tcW w:w="104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Free Convertibility</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Conversion Rate</w:t>
            </w: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Month Issued</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20" w:type="dxa"/>
            <w:vAlign w:val="bottom"/>
            <w:gridSpan w:val="2"/>
            <w:vMerge w:val="continue"/>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 Date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13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per $1,000</w:t>
            </w:r>
          </w:p>
        </w:tc>
        <w:tc>
          <w:tcPr>
            <w:tcW w:w="16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Conversion</w:t>
            </w: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11"/>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12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August 2019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August 15, 2026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May 15, 2026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August 21, 2023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w:t>
            </w:r>
          </w:p>
        </w:tc>
        <w:tc>
          <w:tcPr>
            <w:tcW w:w="0" w:type="dxa"/>
            <w:vAlign w:val="bottom"/>
          </w:tcPr>
          <w:p>
            <w:pPr>
              <w:spacing w:after="0"/>
              <w:rPr>
                <w:sz w:val="1"/>
                <w:szCs w:val="1"/>
                <w:color w:val="auto"/>
              </w:rPr>
            </w:pPr>
          </w:p>
        </w:tc>
      </w:tr>
      <w:tr>
        <w:trPr>
          <w:trHeight w:val="210"/>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August 2023</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15, 2028</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May 15, 2028</w:t>
            </w: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August 21,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702,000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2026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spacing w:after="0" w:line="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2026 Notes and the 2028 Notes are together referred to as the "Notes".</w:t>
      </w:r>
    </w:p>
    <w:p>
      <w:pPr>
        <w:spacing w:after="0" w:line="1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Notes were issued pursuant to an indenture and are senior, unsecured obligations of the Company. The 2028 Notes will rank equally with all of the Company’s existing and future senior unsecured indebtedness, including the Company’s outstanding 2026 Notes.</w:t>
      </w:r>
    </w:p>
    <w:p>
      <w:pPr>
        <w:spacing w:after="0" w:line="6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Holders of the Notes may convert all or a portion of their Notes prior to the close of business on their respective Free Convertibility dates, in multiples of $1,000 principal amount, only under the following circumstances:</w:t>
      </w:r>
    </w:p>
    <w:p>
      <w:pPr>
        <w:spacing w:after="0" w:line="65" w:lineRule="exact"/>
        <w:rPr>
          <w:sz w:val="20"/>
          <w:szCs w:val="20"/>
          <w:color w:val="auto"/>
        </w:rPr>
      </w:pPr>
    </w:p>
    <w:p>
      <w:pPr>
        <w:jc w:val="both"/>
        <w:ind w:left="980" w:hanging="324"/>
        <w:spacing w:after="0" w:line="261" w:lineRule="auto"/>
        <w:tabs>
          <w:tab w:leader="none" w:pos="9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calendar quarter commencing after the calendar quarter in which the respective Notes were issued (and only during such calendar quarter), if the last reported sale price of our Class A common stock, par value $0.001 per share, for at least 20 trading days (whether or not consecutive) during a period of 30 consecutive trading days ending on,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80"/>
        <w:spacing w:after="0" w:line="283" w:lineRule="auto"/>
        <w:rPr>
          <w:sz w:val="20"/>
          <w:szCs w:val="20"/>
          <w:color w:val="auto"/>
        </w:rPr>
      </w:pPr>
      <w:r>
        <w:rPr>
          <w:rFonts w:ascii="Times New Roman" w:cs="Times New Roman" w:eastAsia="Times New Roman" w:hAnsi="Times New Roman"/>
          <w:sz w:val="20"/>
          <w:szCs w:val="20"/>
          <w:color w:val="auto"/>
        </w:rPr>
        <w:t>the last trading day of the immediately preceding calendar quarter is greater than or equal to 130% of the conversion price on each applicable trading day;</w:t>
      </w:r>
    </w:p>
    <w:p>
      <w:pPr>
        <w:spacing w:after="0" w:line="38" w:lineRule="exact"/>
        <w:rPr>
          <w:sz w:val="20"/>
          <w:szCs w:val="20"/>
          <w:color w:val="auto"/>
        </w:rPr>
      </w:pPr>
    </w:p>
    <w:p>
      <w:pPr>
        <w:jc w:val="both"/>
        <w:ind w:left="980" w:hanging="324"/>
        <w:spacing w:after="0" w:line="258"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spacing w:after="0" w:line="77" w:lineRule="exact"/>
        <w:rPr>
          <w:rFonts w:ascii="Times New Roman" w:cs="Times New Roman" w:eastAsia="Times New Roman" w:hAnsi="Times New Roman"/>
          <w:sz w:val="20"/>
          <w:szCs w:val="20"/>
          <w:color w:val="auto"/>
        </w:rPr>
      </w:pPr>
    </w:p>
    <w:p>
      <w:pPr>
        <w:ind w:left="980" w:hanging="324"/>
        <w:spacing w:after="0" w:line="269"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call any or all of the Notes for redemption, at any time prior to the close of business on the scheduled trading day immediately preceding the redemption date; or</w:t>
      </w:r>
    </w:p>
    <w:p>
      <w:pPr>
        <w:spacing w:after="0" w:line="6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specified corporate events as set forth in the relevant indenture.</w:t>
      </w:r>
    </w:p>
    <w:p>
      <w:pPr>
        <w:spacing w:after="0" w:line="10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On or after the relevant Free Convertibility Date, holders of the Notes may convert their Notes at any time until the close of business on the second scheduled trading day immediately preceding the maturity date of the Notes.</w:t>
      </w:r>
    </w:p>
    <w:p>
      <w:pPr>
        <w:spacing w:after="0" w:line="5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During the third quarter of 2024 none of the conversion conditions were met and therefore the Notes are not convertible at the option of the holders. As a result, the Notes were classified as non-current liabilities on the condensed consolidated balance sheet as of September 30, 2024.</w:t>
      </w:r>
    </w:p>
    <w:p>
      <w:pPr>
        <w:spacing w:after="0" w:line="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Interest expense representing the amortization of issuance costs as well as contractual interest expense is amortized to interest expense at an effective interest rate of 1.5% and 1.6% over the term of the 2026 Notes and 2028 Notes, respectively.</w:t>
      </w:r>
    </w:p>
    <w:p>
      <w:pPr>
        <w:spacing w:after="0" w:line="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As of September 30, 2024, the remaining life of the 2026 Notes and 2028 Notes were approximately 1.8 years and 3.8 years, respectively.</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Notes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4160" w:type="dxa"/>
            <w:vAlign w:val="bottom"/>
            <w:gridSpan w:val="6"/>
          </w:tcPr>
          <w:p>
            <w:pPr>
              <w:ind w:left="12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tcPr>
          <w:p>
            <w:pPr>
              <w:spacing w:after="0"/>
              <w:rPr>
                <w:sz w:val="19"/>
                <w:szCs w:val="19"/>
                <w:color w:val="auto"/>
              </w:rPr>
            </w:pPr>
          </w:p>
        </w:tc>
        <w:tc>
          <w:tcPr>
            <w:tcW w:w="374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8"/>
        </w:trPr>
        <w:tc>
          <w:tcPr>
            <w:tcW w:w="30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2028 Notes</w:t>
            </w:r>
          </w:p>
        </w:tc>
        <w:tc>
          <w:tcPr>
            <w:tcW w:w="340" w:type="dxa"/>
            <w:vAlign w:val="bottom"/>
          </w:tcPr>
          <w:p>
            <w:pPr>
              <w:spacing w:after="0"/>
              <w:rPr>
                <w:sz w:val="20"/>
                <w:szCs w:val="20"/>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340" w:type="dxa"/>
            <w:vAlign w:val="bottom"/>
          </w:tcPr>
          <w:p>
            <w:pPr>
              <w:spacing w:after="0"/>
              <w:rPr>
                <w:sz w:val="20"/>
                <w:szCs w:val="20"/>
                <w:color w:val="auto"/>
              </w:rPr>
            </w:pP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2028 Notes</w:t>
            </w: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42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71,242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702,000</w:t>
            </w:r>
          </w:p>
        </w:tc>
      </w:tr>
      <w:tr>
        <w:trPr>
          <w:trHeight w:val="23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(10,076)</w:t>
            </w:r>
          </w:p>
        </w:tc>
      </w:tr>
      <w:tr>
        <w:trPr>
          <w:trHeight w:val="248"/>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carrying amount</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691,924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expense related to the Notes was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86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2,394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3,003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right="8240" w:firstLine="8"/>
        <w:spacing w:after="0" w:line="361" w:lineRule="auto"/>
        <w:tabs>
          <w:tab w:leader="none" w:pos="198"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Litigation</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Stock-Based Compensation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Prior to our corporate conversion in December 2014, awards were provided under the 2009 Unit Incentive Plan (“the 2009 Plan”). The 2009 Plan was amended to provide that no further awards will be issued thereunder, and our board of directors and stockholders adopted and approved our 2014 Equity Incentive Plan (“the 2014 Plan” and, together with the 2009 Plan, “the Plans”).</w:t>
      </w:r>
    </w:p>
    <w:p>
      <w:pPr>
        <w:spacing w:after="0" w:line="7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On May 30, 2024, stockholders approved an amendment to the 2014 Plan that increased the number of shares available for grant by 3,900,000. As of September 30, 2024, 4,920,079 shares of Class A common stock were available for grant under the 2014 Plan.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Stock-based compensation expense was recorded in the following cost and expense categories consistent with the respective employee or service provider’s related cash compensation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5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1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2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w:t>
            </w: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w:t>
            </w: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w:t>
            </w:r>
          </w:p>
        </w:tc>
      </w:tr>
      <w:tr>
        <w:trPr>
          <w:trHeight w:val="223"/>
        </w:trPr>
        <w:tc>
          <w:tcPr>
            <w:tcW w:w="4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78,029</w:t>
            </w:r>
          </w:p>
        </w:tc>
      </w:tr>
      <w:tr>
        <w:trPr>
          <w:trHeight w:val="21"/>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option activity under the Plans for the nine months ended September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6"/>
                <w:szCs w:val="16"/>
                <w:color w:val="auto"/>
              </w:rPr>
            </w:pPr>
          </w:p>
        </w:tc>
        <w:tc>
          <w:tcPr>
            <w:tcW w:w="1340" w:type="dxa"/>
            <w:vAlign w:val="bottom"/>
          </w:tcPr>
          <w:p>
            <w:pPr>
              <w:jc w:val="center"/>
              <w:ind w:left="4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1,211,619</w:t>
            </w:r>
          </w:p>
        </w:tc>
        <w:tc>
          <w:tcPr>
            <w:tcW w:w="144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966,417</w:t>
            </w:r>
          </w:p>
        </w:tc>
        <w:tc>
          <w:tcPr>
            <w:tcW w:w="144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966,417</w:t>
            </w:r>
          </w:p>
        </w:tc>
        <w:tc>
          <w:tcPr>
            <w:tcW w:w="144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14.13</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and Performance Restricted Stock Units</w:t>
      </w:r>
    </w:p>
    <w:p>
      <w:pPr>
        <w:spacing w:after="0" w:line="11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restricted stock unit and performance restricted stock unit activity under the Plans for the nine months ended September 30, 2024:</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6800" w:type="dxa"/>
            <w:vAlign w:val="bottom"/>
          </w:tcPr>
          <w:p>
            <w:pPr>
              <w:spacing w:after="0"/>
              <w:rPr>
                <w:sz w:val="16"/>
                <w:szCs w:val="16"/>
                <w:color w:val="auto"/>
              </w:rPr>
            </w:pPr>
          </w:p>
        </w:tc>
        <w:tc>
          <w:tcPr>
            <w:tcW w:w="2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2,198,411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2,657,795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
        <w:spacing w:after="0" w:line="280" w:lineRule="auto"/>
        <w:tabs>
          <w:tab w:leader="none" w:pos="25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2024, in accordance with our Nonqualified Deferred Compensation Plan, recipients of 3,325 shares elected to defer settlement of their vested restricted stock units and 18,919 shares were released from deferral.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1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During the nine months ended September 30, 2024, 194,239 shares of common stock were purchased under the ESPP at a weighted-average price of $71.16 per share, resulting in cash proceeds of $13.8 million.</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Compensation expense associated with ESPP purchase rights is recognized on a straight-line basis over the vesting period. At September 30, 2024, there was approximately $1.4 million of total unrecognized compensation expense related to the ESPP, which is expected to be recognized over a weighted-average period of 0.3 years.</w:t>
      </w:r>
    </w:p>
    <w:p>
      <w:pPr>
        <w:spacing w:after="0" w:line="164" w:lineRule="exact"/>
        <w:rPr>
          <w:sz w:val="20"/>
          <w:szCs w:val="20"/>
          <w:color w:val="auto"/>
        </w:rPr>
      </w:pPr>
    </w:p>
    <w:p>
      <w:pPr>
        <w:ind w:right="9020" w:firstLine="8"/>
        <w:spacing w:after="0" w:line="433" w:lineRule="auto"/>
        <w:tabs>
          <w:tab w:leader="none" w:pos="198"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Revenue Recognition </w:t>
      </w:r>
      <w:r>
        <w:rPr>
          <w:rFonts w:ascii="Times New Roman" w:cs="Times New Roman" w:eastAsia="Times New Roman" w:hAnsi="Times New Roman"/>
          <w:sz w:val="19"/>
          <w:szCs w:val="19"/>
          <w:b w:val="1"/>
          <w:bCs w:val="1"/>
          <w:i w:val="1"/>
          <w:iCs w:val="1"/>
          <w:color w:val="auto"/>
        </w:rPr>
        <w:t>Disaggregation of Revenue</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our revenues disaggregated by type of good or service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3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00" w:type="dxa"/>
            <w:vAlign w:val="bottom"/>
            <w:tcBorders>
              <w:bottom w:val="single" w:sz="8" w:color="auto"/>
            </w:tcBorders>
          </w:tcPr>
          <w:p>
            <w:pPr>
              <w:spacing w:after="0"/>
              <w:rPr>
                <w:sz w:val="20"/>
                <w:szCs w:val="20"/>
                <w:color w:val="auto"/>
              </w:rPr>
            </w:pPr>
          </w:p>
        </w:tc>
      </w:tr>
      <w:tr>
        <w:trPr>
          <w:trHeight w:val="223"/>
        </w:trPr>
        <w:tc>
          <w:tcPr>
            <w:tcW w:w="29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143,421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486,749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409,857</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professional services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42,719</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r>
      <w:tr>
        <w:trPr>
          <w:trHeight w:val="223"/>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158,175</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538,791</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463,386</w:t>
            </w:r>
          </w:p>
        </w:tc>
      </w:tr>
      <w:tr>
        <w:trPr>
          <w:trHeight w:val="21"/>
        </w:trPr>
        <w:tc>
          <w:tcPr>
            <w:tcW w:w="2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1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recognized $153.0 million and $129.9 million of revenue during the three months ended September 30, 2024 and 2023, respectively, that was included in the deferred revenue balances at the beginning of the respective periods. We recognized $331.2 million and $277.8 million of revenue during the nine months ended September 30, 2024 and 2023, respectively, that was included in the deferred revenue balances at the beginning of the respective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the Remaining Performance Obligations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September 30, 2024, we expect revenue of approximately $1,076.1 million to be recognized from remaining performance obligations for subscription contracts. We expect to recognize approximately $586.0 million of these remaining performance obligations over the next 12 months with the balance substantially recognized in the 24 months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Intangible Assets and Goodwill</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net intangible assets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11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customer-related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trade names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Amortization expense related to intangible assets was $2.0 million and $1.5 million for the three months ended September 30, 2024 and 2023, respectively, and $4.8 million and $4.6 million for the nine months ended September 30, 2024 and 2023, respectively.</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September 30, 2024, expected remaining amortization expense of intangible assets by fiscal year is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20"/>
                <w:szCs w:val="20"/>
                <w:color w:val="auto"/>
              </w:rPr>
              <w:t>The changes in the carrying amount of goodwill were as follows (in thousands):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202,133</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Net Loss Per Share</w:t>
      </w:r>
    </w:p>
    <w:p>
      <w:pPr>
        <w:spacing w:after="0" w:line="1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Net loss per share is allocated based on the contractual participation rights of the Class A and Class B common shares as if the loss for the year has been distributed. As the liquidation and dividend rights are identical, the net loss is allocated on a proportionate basis.</w:t>
      </w:r>
    </w:p>
    <w:p>
      <w:pPr>
        <w:spacing w:after="0" w:line="3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A reconciliation of the denominator used in the calculation of basic and diluted loss per share is as follows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tcPr>
          <w:p>
            <w:pPr>
              <w:spacing w:after="0"/>
              <w:rPr>
                <w:sz w:val="19"/>
                <w:szCs w:val="19"/>
                <w:color w:val="auto"/>
              </w:rPr>
            </w:pPr>
          </w:p>
        </w:tc>
      </w:tr>
      <w:tr>
        <w:trPr>
          <w:trHeight w:val="270"/>
        </w:trPr>
        <w:tc>
          <w:tcPr>
            <w:tcW w:w="5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51,736,258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3,845,583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50,411,358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3,845,583</w:t>
            </w:r>
          </w:p>
        </w:tc>
        <w:tc>
          <w:tcPr>
            <w:tcW w:w="20" w:type="dxa"/>
            <w:vAlign w:val="bottom"/>
          </w:tcPr>
          <w:p>
            <w:pPr>
              <w:spacing w:after="0"/>
              <w:rPr>
                <w:sz w:val="19"/>
                <w:szCs w:val="19"/>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r>
      <w:tr>
        <w:trPr>
          <w:trHeight w:val="454"/>
        </w:trPr>
        <w:tc>
          <w:tcPr>
            <w:tcW w:w="5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5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5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(43,008)</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(3,219)</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(114,522)</w:t>
            </w:r>
          </w:p>
        </w:tc>
        <w:tc>
          <w:tcPr>
            <w:tcW w:w="8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(8,807)</w:t>
            </w:r>
          </w:p>
        </w:tc>
      </w:tr>
      <w:tr>
        <w:trPr>
          <w:trHeight w:val="270"/>
        </w:trPr>
        <w:tc>
          <w:tcPr>
            <w:tcW w:w="5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51,380,671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3,845,583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50,132,483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3,855,308</w:t>
            </w:r>
          </w:p>
        </w:tc>
        <w:tc>
          <w:tcPr>
            <w:tcW w:w="20" w:type="dxa"/>
            <w:vAlign w:val="bottom"/>
            <w:shd w:val="clear" w:color="auto" w:fill="CCEEFF"/>
          </w:tcPr>
          <w:p>
            <w:pPr>
              <w:spacing w:after="0"/>
              <w:rPr>
                <w:sz w:val="19"/>
                <w:szCs w:val="19"/>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(0.84)</w:t>
            </w:r>
          </w:p>
        </w:tc>
        <w:tc>
          <w:tcPr>
            <w:tcW w:w="6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(0.84)</w:t>
            </w:r>
          </w:p>
        </w:tc>
        <w:tc>
          <w:tcPr>
            <w:tcW w:w="6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r>
    </w:tbl>
    <w:p>
      <w:pPr>
        <w:spacing w:after="0" w:line="16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anti-dilutive securities excluded from the weighted-average shares used to calculate the diluted net loss per common share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520" w:type="dxa"/>
            <w:vAlign w:val="bottom"/>
            <w:tcBorders>
              <w:bottom w:val="single" w:sz="8" w:color="auto"/>
            </w:tcBorders>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800" w:type="dxa"/>
            <w:vAlign w:val="bottom"/>
          </w:tcPr>
          <w:p>
            <w:pPr>
              <w:spacing w:after="0"/>
              <w:rPr>
                <w:sz w:val="19"/>
                <w:szCs w:val="19"/>
                <w:color w:val="auto"/>
              </w:rPr>
            </w:pPr>
          </w:p>
        </w:tc>
        <w:tc>
          <w:tcPr>
            <w:tcW w:w="25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966,417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1,289,808</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subject to unvested restricted stock units and performance restricted stock units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2,657,795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2,273,719</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our convertible senior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9,547,320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Acquisitions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On June 17, 2024, we acquired all of the issued and outstanding equity interests in Sustain.Life, Inc. (“Sustain.Life”), a leading provider of carbon accounting solutions, for $98.1 million net of cash acquired of $0.3 million to launch Workiva Carbon. Workiva Carbon is an audit-ready carbon accounting solution that helps organizations measure, manage, track, and report carbon emissions, including data from third-party supply chain partners. Coupled with Workiva's ESG reporting solution, companies can now collect key business data, calculate critical metrics, set data-driven ESG strategy, measure progress, and report results all in the Workiva platform.</w:t>
      </w:r>
    </w:p>
    <w:p>
      <w:pPr>
        <w:spacing w:after="0" w:line="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transaction was accounted for as a business combination. The purchase price has been preliminarily allocated to the assets acquired and liabilities assumed based on their estimated fair values at the date of acquisition. The fair values of goodwill and definite-lived intangible assets acquired in the acquisition were externally estimated primarily based on the replacement cost approach. The fair values of assets acquired and liabilities assumed may change over the measurement period as additional information is received. The primary area subject to change includes our review of the valuation of intangible assets. We expect to finalize the valuation as soon as practicable, but not later than one year from the acquisition date. The excess of the purchase price over the fair value of the net assets acquired was allocated to goodwill. The goodwill recognized was primarily attributable to the assembled workforce, operational synergies, and strategic benefits that are expected to be achieved and is not deductible for income tax purposes.</w:t>
      </w:r>
    </w:p>
    <w:p>
      <w:pPr>
        <w:spacing w:after="0" w:line="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following table presents a preliminary allocation of the purchase price to the assets acquired and liabilities assumed at the date of acquisition (in thousands)</w:t>
      </w:r>
      <w:r>
        <w:rPr>
          <w:rFonts w:ascii="Calibri" w:cs="Calibri" w:eastAsia="Calibri" w:hAnsi="Calibri"/>
          <w:sz w:val="21"/>
          <w:szCs w:val="2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98,343</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consideration</w:t>
            </w:r>
          </w:p>
        </w:tc>
        <w:tc>
          <w:tcPr>
            <w:tcW w:w="146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146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98,343</w:t>
            </w:r>
          </w:p>
        </w:tc>
      </w:tr>
      <w:tr>
        <w:trPr>
          <w:trHeight w:val="20"/>
        </w:trPr>
        <w:tc>
          <w:tcPr>
            <w:tcW w:w="7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incurred costs related to the acquisition of approximately $1.1 million during the nine months ended September 30, 2024. All acquisition related costs were expensed as incurred and have been recorded in general and administrative expenses in our condensed consolidated statements of operations.</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amount of revenues and net loss from the acquisition included in our condensed consolidated statements of operations for the three and nine months ended September 30, 2024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2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our operations should be read in conjunction with the condensed consolidated financial statements and related notes included elsewhere in this report and in our Annual Report on Form 10-K filed with the Securities and Exchange Commission on February 20, 2024.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on Form 10-K for the year ended December 31, 2023, in “Item 1A. Risk Factors” in Part II of this Quarterly Report on Form 10-Q and in any subsequent filing we make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Workiva is on a mission to power transparent reporting for a better world. We build and deliver the world's leading cloud platform for assured integrated reporting to meet stakeholder demands for action, transparency, and disclosure of financial and non-financial data. Workiva offers the only unified software-as-a-service (“SaaS”) platform brings customers’ financial reporting, Governance, Risk, and Compliance (“GRC”) and Environmental, Social, and Governance (“ESG”) data together in a controlled, secure, audit-ready platform. Our platform simplifies the most complex reporting and disclosure challenges by streamlining processes, connecting data and teams, and ensuring consistency.</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spacing w:after="0" w:line="1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Workiva provides more than 6,200 organizations across the globe with SaaS platform solutions to help solve some of the most complex reporting and disclosure challenges. While our customers use our platform for more than 100 different use cases, across dozens of vertical industries, we organize our sales and marketing resources into three purpose-built solution groups (Financial Reporting, ESG, and GRC) focusing primarily on the office of the Chief Financial Officer (“CFO”), Chief Sustainability Officer (“CSO”), and Chief Audit Executive (“CAE”).</w:t>
      </w:r>
    </w:p>
    <w:p>
      <w:pPr>
        <w:spacing w:after="0" w:line="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spacing w:after="0" w:line="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continue to invest in the development of our solutions, infrastructure and sales and marketing to drive long-term growth. Our full-time employee headcount expanded to 2,751 at September 30, 2024 from 2,519 at September 30, 2023, an increase of 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achieved significant revenue growth in recent periods. Our revenue grew to $185.6 million and $538.8 million during the three and nine months ended September 30, 2024, respectively from $158.2 million and $463.4 million during the three and nine months ended September 30, 2023, respectively. We incurred net losses of $17.0 million and $46.2 million during the three and nine months ended September 30, 2024, respectively compared to $56.3 million and $123.3 million during the three and nine months ended September 30, 2023, respectively.</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continue to invest for future growth and are focused on several key drivers, including focusing on multi-solution adoption by new and existing customers, further developing our partner program, accelerating international expansion and our fit-for-purpose solutions. These growth drivers often require a more sophisticated go-to-market approach and, as a result, we may incur additional costs upfront to obtain new customers and expand our relationships with existing customers, including additional sales and marketing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Developments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On June 17, 2024, we acquired all of the issued and outstanding equity interests in Sustain.Life, a leading provider of carbon accounting solutions, to launch Workiva Carbon. Workiva Carbon is an audit-ready carbon accounting solution that helps organizations measure, manage, track, and report carbon emissions, including data from third-party supply chain partners. Coupled with Workiva's ESG reporting solution, companies can now collect key business data, calculate critical metrics, set data-driven ESG strategy, measure progress, and report results all in the Workiva platform. See Note 11 to the condensed consolidated financial statements for more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Volatility in the IPO/SPAC Markets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the United States, volatility in the public markets has led to a decrease in the number of initial public offerings (“IPOs”) and special-purpose acquisition companies (“SPACs”) since fiscal year 2022. New sales of our SEC and capital markets solutions were adversely affected by this decline in the IPO and SPAC markets. We expect reduced valuation multiples caused by higher interest rates, inflation, and geopolitical instability to continue to negatively impact the number of IPOs and SPACs in fiscal year 2024. Whether and to what extent the IPO and SPAC markets will moderate cannot be accurately predicted.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12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Generate Growth From Existing Customers. </w:t>
      </w:r>
      <w:r>
        <w:rPr>
          <w:rFonts w:ascii="Times New Roman" w:cs="Times New Roman" w:eastAsia="Times New Roman" w:hAnsi="Times New Roman"/>
          <w:sz w:val="20"/>
          <w:szCs w:val="20"/>
          <w:color w:val="auto"/>
        </w:rPr>
        <w:t>The Workiva platform can exhibit a powerful network effect within an enterprise,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spacing w:after="0" w:line="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Pursue New Customers</w:t>
      </w:r>
      <w:r>
        <w:rPr>
          <w:rFonts w:ascii="Times New Roman" w:cs="Times New Roman" w:eastAsia="Times New Roman" w:hAnsi="Times New Roman"/>
          <w:sz w:val="20"/>
          <w:szCs w:val="20"/>
          <w:color w:val="auto"/>
        </w:rPr>
        <w:t>. We sell to organizations that manage large, complex processes with distributed teams of contributors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disparate sets of business data. We market our platform to professionals and executives in the areas of financial and non-financial reporting, including regulatory, multi-entity and performance reporting. In addition, we market to teams responsible for ESG reporting, and GRC programs. We intend to continue to build our sales and marketing organization and leverage our brand equity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Offer More Solutions. </w:t>
      </w:r>
      <w:r>
        <w:rPr>
          <w:rFonts w:ascii="Times New Roman" w:cs="Times New Roman" w:eastAsia="Times New Roman" w:hAnsi="Times New Roman"/>
          <w:sz w:val="20"/>
          <w:szCs w:val="20"/>
          <w:color w:val="auto"/>
        </w:rPr>
        <w:t>We intend to introduce new solutions to continue to meet growing demand for our platform. Our close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trusted relationships with our customers are a source for new use cases, features and solutions. We have a disciplined process for tracking, developing and releasing new solutions that are designed to have immediate, broad applicability; a strong value proposition; and a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Expand Across Enterprises. </w:t>
      </w:r>
      <w:r>
        <w:rPr>
          <w:rFonts w:ascii="Times New Roman" w:cs="Times New Roman" w:eastAsia="Times New Roman" w:hAnsi="Times New Roman"/>
          <w:sz w:val="20"/>
          <w:szCs w:val="20"/>
          <w:color w:val="auto"/>
        </w:rPr>
        <w:t>Our success in delivering multiple solutions has created demand from customers for a broader-based,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enterprise-wide Workiva platform. In response, we have been improving our technology and realigning sales and marketing to capitalize on our growing enterprise-wide opportunities. We believe this expansion will add seats and revenue and continue to support our high revenue retention rates. However, we expect that enterprise-wide deals will be larger and more complex, which tend to lengthen the sales cycle.</w:t>
      </w:r>
    </w:p>
    <w:p>
      <w:pPr>
        <w:spacing w:after="0" w:line="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Add Partners. </w:t>
      </w:r>
      <w:r>
        <w:rPr>
          <w:rFonts w:ascii="Times New Roman" w:cs="Times New Roman" w:eastAsia="Times New Roman" w:hAnsi="Times New Roman"/>
          <w:sz w:val="20"/>
          <w:szCs w:val="20"/>
          <w:color w:val="auto"/>
        </w:rPr>
        <w:t>We continue to expand and deepen our relationships with global and regional partners, including consulting firms,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spacing w:after="0" w:line="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Investment in growth</w:t>
      </w:r>
      <w:r>
        <w:rPr>
          <w:rFonts w:ascii="Times New Roman" w:cs="Times New Roman" w:eastAsia="Times New Roman" w:hAnsi="Times New Roman"/>
          <w:sz w:val="20"/>
          <w:szCs w:val="20"/>
          <w:color w:val="auto"/>
        </w:rPr>
        <w:t>. We plan to continue to invest in the development of our platform, fit-for-purpose solutions and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Seasonality. </w:t>
      </w:r>
      <w:r>
        <w:rPr>
          <w:rFonts w:ascii="Times New Roman" w:cs="Times New Roman" w:eastAsia="Times New Roman" w:hAnsi="Times New Roman"/>
          <w:sz w:val="20"/>
          <w:szCs w:val="20"/>
          <w:color w:val="auto"/>
        </w:rPr>
        <w:t>Our revenue from professional services has some degree of seasonality. Many of our customers employ our professional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just before they file their Form 10-K, often in the first calendar quarter. Our sales and marketing expense also has some degree of seasonality. Sales and marketing expenses have historically been higher in the third quarter due to our annual user conference in September. In addition, the timing of the payments of cash bonuses to employees during the first and fourth calendar quarters may result in some seasonality in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0"/>
                <w:szCs w:val="20"/>
                <w:color w:val="auto"/>
              </w:rPr>
            </w:pPr>
          </w:p>
        </w:tc>
        <w:tc>
          <w:tcPr>
            <w:tcW w:w="33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metrics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185,621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158,175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538,791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463,386</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Percentage increase in total revenue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171,035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143,421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486,749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409,857</w:t>
            </w: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Percentage increase in subscription and support</w:t>
            </w:r>
          </w:p>
        </w:tc>
        <w:tc>
          <w:tcPr>
            <w:tcW w:w="2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149"/>
        </w:trPr>
        <w:tc>
          <w:tcPr>
            <w:tcW w:w="39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2"/>
                <w:szCs w:val="12"/>
                <w:color w:val="auto"/>
              </w:rPr>
            </w:pPr>
          </w:p>
        </w:tc>
        <w:tc>
          <w:tcPr>
            <w:tcW w:w="1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9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Subscription and support as a percent of total</w:t>
            </w:r>
          </w:p>
        </w:tc>
        <w:tc>
          <w:tcPr>
            <w:tcW w:w="2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9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23"/>
        </w:trPr>
        <w:tc>
          <w:tcPr>
            <w:tcW w:w="6800" w:type="dxa"/>
            <w:vAlign w:val="bottom"/>
          </w:tcPr>
          <w:p>
            <w:pPr>
              <w:spacing w:after="0"/>
              <w:rPr>
                <w:sz w:val="19"/>
                <w:szCs w:val="19"/>
                <w:color w:val="auto"/>
              </w:rPr>
            </w:pPr>
          </w:p>
        </w:tc>
        <w:tc>
          <w:tcPr>
            <w:tcW w:w="140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metrics</w:t>
            </w:r>
          </w:p>
        </w:tc>
        <w:tc>
          <w:tcPr>
            <w:tcW w:w="1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customers</w:t>
            </w:r>
          </w:p>
        </w:tc>
        <w:tc>
          <w:tcPr>
            <w:tcW w:w="14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6,237</w:t>
            </w:r>
          </w:p>
        </w:tc>
        <w:tc>
          <w:tcPr>
            <w:tcW w:w="30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8"/>
              </w:rPr>
              <w:t>5,945</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 revenue retention rate</w:t>
            </w:r>
          </w:p>
        </w:tc>
        <w:tc>
          <w:tcPr>
            <w:tcW w:w="14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97.5%</w:t>
            </w:r>
          </w:p>
        </w:tc>
        <w:tc>
          <w:tcPr>
            <w:tcW w:w="304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 revenue retention rate including add-ons</w:t>
            </w:r>
          </w:p>
        </w:tc>
        <w:tc>
          <w:tcPr>
            <w:tcW w:w="14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110.5%</w:t>
            </w:r>
          </w:p>
        </w:tc>
        <w:tc>
          <w:tcPr>
            <w:tcW w:w="30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Number of customers with annual contract value $100k+</w:t>
            </w:r>
          </w:p>
        </w:tc>
        <w:tc>
          <w:tcPr>
            <w:tcW w:w="14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1,926</w:t>
            </w:r>
          </w:p>
        </w:tc>
        <w:tc>
          <w:tcPr>
            <w:tcW w:w="304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1,561</w:t>
            </w: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customers with annual contract value $300k+</w:t>
            </w:r>
          </w:p>
        </w:tc>
        <w:tc>
          <w:tcPr>
            <w:tcW w:w="14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383</w:t>
            </w:r>
          </w:p>
        </w:tc>
        <w:tc>
          <w:tcPr>
            <w:tcW w:w="30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Number of customers with annual contract value $500k+</w:t>
            </w:r>
          </w:p>
        </w:tc>
        <w:tc>
          <w:tcPr>
            <w:tcW w:w="14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166</w:t>
            </w:r>
          </w:p>
        </w:tc>
        <w:tc>
          <w:tcPr>
            <w:tcW w:w="304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Total customers</w:t>
      </w:r>
      <w:r>
        <w:rPr>
          <w:rFonts w:ascii="Times New Roman" w:cs="Times New Roman" w:eastAsia="Times New Roman" w:hAnsi="Times New Roman"/>
          <w:sz w:val="20"/>
          <w:szCs w:val="20"/>
          <w:color w:val="auto"/>
        </w:rPr>
        <w:t>. We believe total number of customers is a key indicator of our financial success and future revenue potential.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 a customer as an entity with an active subscription contract as of the measurement date. Our customer is typically a parent company or, in a few cases, a significant subsidiary that works with us directly. Companies with publicly-listed securities account for a substantial majority of our customers. Our customer count as of September 30, 2024 does not include Sustain.Life.</w:t>
      </w:r>
    </w:p>
    <w:p>
      <w:pPr>
        <w:spacing w:after="0" w:line="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Subscription and support revenue retention rate</w:t>
      </w:r>
      <w:r>
        <w:rPr>
          <w:rFonts w:ascii="Times New Roman" w:cs="Times New Roman" w:eastAsia="Times New Roman" w:hAnsi="Times New Roman"/>
          <w:sz w:val="20"/>
          <w:szCs w:val="20"/>
          <w:color w:val="auto"/>
        </w:rPr>
        <w:t>. We calculate our subscription and support revenue retention rate based on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w:t>
      </w:r>
    </w:p>
    <w:p>
      <w:pPr>
        <w:spacing w:after="0" w:line="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subscription and support revenue retention rate was 97.5% as of September 30, 2024, down slightly from 97.7% as of September 30, 2023. We believe that our success in maintaining a high rate of revenue retention is attributable primarily to our robust technology platform and strong customer service. Customers whose securities were deregistered due to merger or acquisition or financial distress accounted for over half of our revenue attrition in the latest quarter.</w:t>
      </w:r>
    </w:p>
    <w:p>
      <w:pPr>
        <w:spacing w:after="0" w:line="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Subscription and support revenue retention rate including add-ons</w:t>
      </w:r>
      <w:r>
        <w:rPr>
          <w:rFonts w:ascii="Times New Roman" w:cs="Times New Roman" w:eastAsia="Times New Roman" w:hAnsi="Times New Roman"/>
          <w:sz w:val="20"/>
          <w:szCs w:val="20"/>
          <w:color w:val="auto"/>
        </w:rPr>
        <w:t>. Add-on revenue includes the change in both solutions and pricing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existing customers. We calculate our subscription and support revenue retention rate including add-ons by annualizing the subscription and support revenue recorded in the current quarter for our base customers that were active at the end of the current quarter. We divide the result by the annualized subscription and support revenue in the same quarter of the prior year for all base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Our subscription and support revenue retention rate including add-ons was 110.5% as of the quarter ended September 30, 2024, down from 112.0% as of September 30, 2023.</w:t>
      </w:r>
    </w:p>
    <w:p>
      <w:pPr>
        <w:spacing w:after="0" w:line="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Annual contract value</w:t>
      </w:r>
      <w:r>
        <w:rPr>
          <w:rFonts w:ascii="Times New Roman" w:cs="Times New Roman" w:eastAsia="Times New Roman" w:hAnsi="Times New Roman"/>
          <w:sz w:val="20"/>
          <w:szCs w:val="20"/>
          <w:color w:val="auto"/>
        </w:rPr>
        <w:t>. Our annual contract value (“ACV”) for each customer is calculated by annualizing the subscription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support revenue recognized during each quarter. We believe the increase in the number of larger contracts shows our progress in expanding our customers’ adoption of our platform.</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35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Subscription and support revenue from customers with</w:t>
            </w: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annual contract value of $100k+ as a percent of total</w:t>
            </w:r>
          </w:p>
        </w:tc>
        <w:tc>
          <w:tcPr>
            <w:tcW w:w="16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71.8%</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67.1%</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70.3%</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65.6%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Subscription and support revenue from customers with</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36.0%</w:t>
            </w:r>
          </w:p>
        </w:tc>
        <w:tc>
          <w:tcPr>
            <w:tcW w:w="10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32.6%</w:t>
            </w:r>
          </w:p>
        </w:tc>
        <w:tc>
          <w:tcPr>
            <w:tcW w:w="8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35.1%</w:t>
            </w:r>
          </w:p>
        </w:tc>
        <w:tc>
          <w:tcPr>
            <w:tcW w:w="10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0" w:type="dxa"/>
            <w:vAlign w:val="bottom"/>
          </w:tcPr>
          <w:p>
            <w:pPr>
              <w:spacing w:after="0"/>
              <w:rPr>
                <w:sz w:val="1"/>
                <w:szCs w:val="1"/>
                <w:color w:val="auto"/>
              </w:rPr>
            </w:pPr>
          </w:p>
        </w:tc>
      </w:tr>
      <w:tr>
        <w:trPr>
          <w:trHeight w:val="184"/>
        </w:trPr>
        <w:tc>
          <w:tcPr>
            <w:tcW w:w="42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annual contract value of $300k+ as a percent of total</w:t>
            </w: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 revenue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Subscription and support revenue from customers with</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10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21.6%</w:t>
            </w:r>
          </w:p>
        </w:tc>
        <w:tc>
          <w:tcPr>
            <w:tcW w:w="8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10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21.3%</w:t>
            </w:r>
          </w:p>
        </w:tc>
        <w:tc>
          <w:tcPr>
            <w:tcW w:w="0" w:type="dxa"/>
            <w:vAlign w:val="bottom"/>
          </w:tcPr>
          <w:p>
            <w:pPr>
              <w:spacing w:after="0"/>
              <w:rPr>
                <w:sz w:val="1"/>
                <w:szCs w:val="1"/>
                <w:color w:val="auto"/>
              </w:rPr>
            </w:pPr>
          </w:p>
        </w:tc>
      </w:tr>
      <w:tr>
        <w:trPr>
          <w:trHeight w:val="204"/>
        </w:trPr>
        <w:tc>
          <w:tcPr>
            <w:tcW w:w="42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annual contract value of $500k+ as a percent of total</w:t>
            </w:r>
          </w:p>
        </w:tc>
        <w:tc>
          <w:tcPr>
            <w:tcW w:w="1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089140"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37719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subscription and support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nine months ended September 30, 2024 and 2023, no single customer represented more than 1% of our revenue, and our largest 10 customers accounted for less than 10% of our revenue in the aggregate.</w:t>
      </w:r>
    </w:p>
    <w:p>
      <w:pPr>
        <w:spacing w:after="0" w:line="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generate sales directly through our sales force and partners. We also identify some sales opportunities with existing customers through our customer success and professional services teams.</w:t>
      </w:r>
    </w:p>
    <w:p>
      <w:pPr>
        <w:spacing w:after="0" w:line="3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Our customer contracts typically range in length from one year to three years. We typically invoice our customers for subscription fees annually in advance. For contracts with a two or three year term, customers sometimes elect to pay the entire multi-year subscription term in advance. Our arrangements do not contain general rights of return.</w:t>
      </w:r>
    </w:p>
    <w:p>
      <w:pPr>
        <w:spacing w:after="0" w:line="4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i w:val="1"/>
          <w:iCs w:val="1"/>
          <w:color w:val="auto"/>
        </w:rPr>
        <w:t>Subscription and Support Revenue</w:t>
      </w:r>
      <w:r>
        <w:rPr>
          <w:rFonts w:ascii="Times New Roman" w:cs="Times New Roman" w:eastAsia="Times New Roman" w:hAnsi="Times New Roman"/>
          <w:sz w:val="19"/>
          <w:szCs w:val="19"/>
          <w:color w:val="auto"/>
        </w:rPr>
        <w:t>. We recognize subscription and support revenue on a ratable basis over the contract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beginning on the date that our service is made available to the customer. Amounts that are invoiced are initially recorded as deferred revenue.</w:t>
      </w:r>
    </w:p>
    <w:p>
      <w:pPr>
        <w:spacing w:after="0" w:line="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Professional Services Revenue</w:t>
      </w:r>
      <w:r>
        <w:rPr>
          <w:rFonts w:ascii="Times New Roman" w:cs="Times New Roman" w:eastAsia="Times New Roman" w:hAnsi="Times New Roman"/>
          <w:sz w:val="20"/>
          <w:szCs w:val="20"/>
          <w:color w:val="auto"/>
        </w:rPr>
        <w:t>. We believe our professional services facilitate the sale of our subscription service to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 when the service is complete and control has transferred to the customer. Revenues from XBRL tagging and consulting services are recognized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Research and development expenses consist primarily of personnel and related costs, including salaries, benefits, bonuses, travel, and stock-based compensation; costs of third-party hosting fees for server usage by our developers; information technology costs; and facility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selected consolidated statement of operations data for each of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35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4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171,035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409,857</w:t>
            </w: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53,529</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185,621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463,386</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1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Subscription and support</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74,080</w:t>
            </w:r>
          </w:p>
        </w:tc>
      </w:tr>
      <w:tr>
        <w:trPr>
          <w:trHeight w:val="229"/>
        </w:trPr>
        <w:tc>
          <w:tcPr>
            <w:tcW w:w="41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w:t>
            </w: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116,377</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141,950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347,009</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130,235</w:t>
            </w:r>
          </w:p>
        </w:tc>
      </w:tr>
      <w:tr>
        <w:trPr>
          <w:trHeight w:val="229"/>
        </w:trPr>
        <w:tc>
          <w:tcPr>
            <w:tcW w:w="41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215,168</w:t>
            </w:r>
          </w:p>
        </w:tc>
      </w:tr>
      <w:tr>
        <w:trPr>
          <w:trHeight w:val="230"/>
        </w:trPr>
        <w:tc>
          <w:tcPr>
            <w:tcW w:w="41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86,660</w:t>
            </w: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163,732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432,063</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(85,054)</w:t>
            </w: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w:t>
            </w: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(50,437)</w:t>
            </w:r>
          </w:p>
        </w:tc>
      </w:tr>
      <w:tr>
        <w:trPr>
          <w:trHeight w:val="230"/>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(121,395)</w:t>
            </w:r>
          </w:p>
        </w:tc>
      </w:tr>
      <w:tr>
        <w:trPr>
          <w:trHeight w:val="230"/>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00" w:hanging="444"/>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included in these line items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6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4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w:t>
            </w: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w:t>
            </w: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w:t>
            </w:r>
          </w:p>
        </w:tc>
      </w:tr>
      <w:tr>
        <w:trPr>
          <w:trHeight w:val="223"/>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78,029</w:t>
            </w:r>
          </w:p>
        </w:tc>
      </w:tr>
      <w:tr>
        <w:trPr>
          <w:trHeight w:val="21"/>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0" w:firstLine="648"/>
        <w:spacing w:after="0" w:line="267" w:lineRule="auto"/>
        <w:rPr>
          <w:sz w:val="20"/>
          <w:szCs w:val="20"/>
          <w:color w:val="auto"/>
        </w:rPr>
      </w:pPr>
      <w:r>
        <w:rPr>
          <w:rFonts w:ascii="Times New Roman" w:cs="Times New Roman" w:eastAsia="Times New Roman" w:hAnsi="Times New Roman"/>
          <w:sz w:val="20"/>
          <w:szCs w:val="20"/>
          <w:color w:val="auto"/>
        </w:rPr>
        <w:t>The following table sets forth our consolidated statement of operations data as a percentage of revenue for each of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7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8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r>
      <w:tr>
        <w:trPr>
          <w:trHeight w:val="23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74.9</w:t>
            </w: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Three and Nine Months Ended September 30, 2024 and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3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5"/>
        </w:trPr>
        <w:tc>
          <w:tcPr>
            <w:tcW w:w="3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4"/>
        </w:trPr>
        <w:tc>
          <w:tcPr>
            <w:tcW w:w="3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171,035</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19.3%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486,749</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409,857</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18.8%</w:t>
            </w:r>
          </w:p>
        </w:tc>
      </w:tr>
      <w:tr>
        <w:trPr>
          <w:trHeight w:val="230"/>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53,529</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158,175</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538,791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463,386</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16.3%</w:t>
            </w:r>
          </w:p>
        </w:tc>
      </w:tr>
      <w:tr>
        <w:trPr>
          <w:trHeight w:val="20"/>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Total revenue increased $27.4 million for the three months ended September 30, 2024 compared to the same quarter a year ago due primarily to a $27.6 million increase in subscription and support revenue. Growth in subscription and support revenue in the third quarter was attributable mainly to strong demand and continued solution expansion across our customer base. Revenue from professional services was relatively flat for the three months ended September 30, 2024 compared to the same quarter a year ago. We continue to transition consulting and other services to our partners and expect the revenue growth rate from subscription and support to continue to outpace revenue growth from professional services on an annual basis.</w:t>
      </w:r>
    </w:p>
    <w:p>
      <w:pPr>
        <w:spacing w:after="0" w:line="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Total revenue increased $75.4 million for the nine months ended September 30, 2024 compared to the same period a year ago due primarily to a $76.9 million increase in subscription and support revenue. Growth in subscription and support revenue was attributable mainly to strong demand and continued solution expansion across our customer base. Revenue from professional services decreased $1.5 million for the nine months ended September 30, 2024 compared to the same period a year ago. We continue to transition consulting and other services to our partners and expect the revenue growth rate from subscription and support to continue to outpace revenue growth from professional services on an annual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3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5"/>
        </w:trPr>
        <w:tc>
          <w:tcPr>
            <w:tcW w:w="3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3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23.2%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86,493</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16.8%</w:t>
            </w: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38,355</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13.9%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Cost of revenue increased $5.3 million during the three months ended September 30, 2024 compared to the same quarter a year ago. Subscription and support cost of revenue increased $5.8 million due primarily to $3.5 million in higher cash-based compensation and benefits costs and $0.9 million of additional stock-based compensation. The increase in compensation was primarily driven by a modest increase in employee headcount. Amortization of acquired intangible assets for Sustain.Life was $0.6 million</w:t>
      </w:r>
      <w:r>
        <w:rPr>
          <w:rFonts w:ascii="Arial" w:cs="Arial" w:eastAsia="Arial" w:hAnsi="Arial"/>
          <w:sz w:val="20"/>
          <w:szCs w:val="20"/>
          <w:color w:val="auto"/>
        </w:rPr>
        <w:t>.</w:t>
      </w:r>
      <w:r>
        <w:rPr>
          <w:rFonts w:ascii="Times New Roman" w:cs="Times New Roman" w:eastAsia="Times New Roman" w:hAnsi="Times New Roman"/>
          <w:sz w:val="19"/>
          <w:szCs w:val="19"/>
          <w:color w:val="auto"/>
        </w:rPr>
        <w:t xml:space="preserve"> Professional services cost of revenue</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decreased $0.4 million due primarily to a $0.5 million decrease in cash-based compensation and benefits costs. The decrease was primarily driven by a decrease in employee headcount as we continue to transition consulting and other services to our partners.</w:t>
      </w:r>
    </w:p>
    <w:p>
      <w:pPr>
        <w:spacing w:after="0" w:line="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Cost of revenue increased $10.0 million during the nine months ended September 30, 2024 compared to the same period a year ago. Subscription and support cost of revenue increased $12.4 million due primarily to $8.4 million in higher cash-based compensation and benefits costs, $2.0 million of additional stock-based compensation, and a $0.5 million increase in travel expense. The increase in compensation was primarily driven by a modest increase in employee headcount. The increase in travel expense was primarily due to a general increase in travel driven by an increase in employee headcount. Amortization of acquired intangible assets for Sustain.Life was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$0.6 million</w:t>
      </w:r>
      <w:r>
        <w:rPr>
          <w:rFonts w:ascii="Arial" w:cs="Arial" w:eastAsia="Arial" w:hAnsi="Arial"/>
          <w:sz w:val="21"/>
          <w:szCs w:val="21"/>
          <w:color w:val="auto"/>
        </w:rPr>
        <w:t>.</w:t>
      </w:r>
      <w:r>
        <w:rPr>
          <w:rFonts w:ascii="Times New Roman" w:cs="Times New Roman" w:eastAsia="Times New Roman" w:hAnsi="Times New Roman"/>
          <w:sz w:val="20"/>
          <w:szCs w:val="20"/>
          <w:color w:val="auto"/>
        </w:rPr>
        <w:t xml:space="preserve"> Professional services cost of revenue decreased $2.4 million due primarily to a $2.1 million decrease in cash-based compensation and benefits costs and a $0.7 million decrease in professional service fees. The decrease was primarily driven by a decrease in employee headcount and staff augmentation as we continue to transition consulting and other services to our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3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5"/>
        </w:trPr>
        <w:tc>
          <w:tcPr>
            <w:tcW w:w="3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3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142,328</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130,235</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72,576</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215,168</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19.5%</w:t>
            </w:r>
          </w:p>
        </w:tc>
      </w:tr>
      <w:tr>
        <w:trPr>
          <w:trHeight w:val="230"/>
        </w:trPr>
        <w:tc>
          <w:tcPr>
            <w:tcW w:w="3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13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86,660</w:t>
            </w:r>
          </w:p>
        </w:tc>
        <w:tc>
          <w:tcPr>
            <w:tcW w:w="13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(12.0)%</w:t>
            </w:r>
          </w:p>
        </w:tc>
      </w:tr>
      <w:tr>
        <w:trPr>
          <w:trHeight w:val="248"/>
        </w:trPr>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163,732</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432,063</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increased $6.7 million during the three months ended September 30, 2024 compared to the same quarter a year ago due primarily to $4.0 million in higher cash-based compensation and benefits, $1.5 million of additional stock-based compensation and a $1.0 million increase in professional service fees The increase in compensation was primarily driven by a modest increase in employee headcount. The increase in professional service fees resulted primarily from our continued investment in and support of our platform and solutions.</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increased $12.1 million during the nine months ended September 30, 2024 compared to the same period a year ago due primarily to $8.1 million in higher cash-based compensation and benefits, $1.8 million of additional stock-based compensation, and a $2.1 million increase in professional service fees. The remaining increase in compensation was primarily driven by a modest increase in employee headcount. The increase in professional service fees resulted primarily from our continued investment in and support of our platform and solutions.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Sales and marketing expenses increased $17.2 million during the three months ended September 30, 2024 compared to the same quarter a year ago due primarily to $8.0 million in higher cash-based compensation and benefits, $2.8 million of additional stock-based compensation, a $1.9 million increase in travel expense, a $1.7 million increase in professional service fees, and a $2.5 million increase in marketing and advertising. During the third quarter of 2024 we recognized an additional $1.8 million in cash-based and stock-based compensation pursuant to certain severance obligations. The remaining increase in compensation was primarily due to an increase in employee headcount as we continue to invest in our go-to-market activities. The increase in travel expense was primarily due to a general increase in travel driven by an increase in employee headcount and our continued investment in our go-to-market activities. The increases in professional service fees and marketing and advertising was the result of our continued investment in and support of our platform and solutions.</w:t>
      </w:r>
    </w:p>
    <w:p>
      <w:pPr>
        <w:spacing w:after="0" w:line="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Sales and marketing expenses increased $41.9 million during the nine months ended September 30, 2024 compared to the same period a year ago due primarily to $24.3 million in higher cash-based compensation and benefits, $5.7 million of additional stock-based compensation, a $4.1 million increase in travel expense, a $3.6 million increase in professional service fees, and a $3.5 million increase in marketing and advertising. The increase in compensation was primarily due to an increase in employee headcount and sales commissions as we continue to invest in our go-to-market activities. The increase in travel expense was primarily due to a general increase in travel driven by an increase in employee headcount and our continued investment in our go-to-market activities. The increases in professional service fees and marketing and advertising were the result of our continued investment in and support of our platform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General and administrative expenses increased $4.5 million during the three months ended September 30, 2024 compared to the same quarter a year ago due primarily to a $0.9 million increase in cash-based compensation and benefits, $2.6 million of additional stock-based compensation, and a $0.8 million increase in recruiting and professional service fees. The increase in compensation was primarily due to additional performance-based restricted stock awards issued to executives in the latter part of the first quarter of 2024 and changes in the assumptions associated with the attainment of company-specific performance targets. The remaining increase in compensation was due to a modest increase in employee headcount. The increase in professional service fees was primarily due to costs incurred to acquire Sustain.Life.</w:t>
      </w:r>
    </w:p>
    <w:p>
      <w:pPr>
        <w:spacing w:after="0" w:line="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decreased $10.4 million during the nine months ended September 30, 2024 compared to the same period a year ago due primarily to a $12.2 million decrease in stock-based compensation partially offset by a $2.0 million increase in professional service fees. In addition, during the nine months ended September 30, 2023, we recorded a one-time benefit of $1.0 million related to a goods and services tax refund as well as one-time fees of $0.6 million related to the cancellation of certain events which did not recur in 2024. The decrease in compensation during the first nine months of 2024 is primarily due to the recognition of $1.4 million and $18.1 million in cash-based and stock-based compensation, respectively, pursuant to certain transition agreements with former executives during the first quarter of 2023 which did not recur in 2024, partially offset by a modest increase in employee headcount and an increase in performance-based restricted stock expense driven by additional performance-based restricted stock awards issued to executives in the latter part of the first quarter of 2024 and changes in the assumptions associated with the attainment of company-specific performance targets. The increase in professional service fees was primarily due to costs incurred to acquire Sustain.Life.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c>
          <w:tcPr>
            <w:tcW w:w="1240" w:type="dxa"/>
            <w:vAlign w:val="bottom"/>
          </w:tcPr>
          <w:p>
            <w:pPr>
              <w:spacing w:after="0"/>
              <w:rPr>
                <w:sz w:val="17"/>
                <w:szCs w:val="17"/>
                <w:color w:val="auto"/>
              </w:rPr>
            </w:pPr>
          </w:p>
        </w:tc>
      </w:tr>
      <w:tr>
        <w:trPr>
          <w:trHeight w:val="241"/>
        </w:trPr>
        <w:tc>
          <w:tcPr>
            <w:tcW w:w="3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5"/>
        </w:trPr>
        <w:tc>
          <w:tcPr>
            <w:tcW w:w="3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3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93.5%</w:t>
            </w: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(47,437)</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(50,437)</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is not meaningful.</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Interest Income, Interest Expense and Other Expense, Net</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During the three months ended September 30, 2024, interest income increased $2.0 million compared to the same quarter a year ago due primarily to an increase in our investment balance, coupled with higher interest rates. During the three months ended September 30, 2023, we recorded a $45.1 million loss on induced conversion from the partial repurchase of our convertible senior notes due in 2026 (the "2026 Notes"), which did not recur in 2024 and contributed primarily to the decrease in interest expense compared to the same quarter a year ago. Other expense, net increased $0.3 million compared to the same quarter a year ago due primarily to losses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During the nine months ended September 30, 2024, interest income increased $14.5 million compared to the same period a year ago due primarily to an increase in our investment balance, facilitated by the issuance of our 2028 convertible notes (the "2028 Notes"), coupled with higher interest rates. During the nine months ended September 30, 2023, we recorded a $45.1 million loss on induced conversion from the partial repurchase of our 2026 Notes, which did not recur in 2024 and contributed primarily to the decrease in interest expense compared to the same period a year ago. Other expense, net decreased $1.1 million compared to the same period a year ago due primarily to gains on foreign currency transactions as well as losses on the sale of available-for-sale securities from the first nine months of 2023 which did not recur in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Fiscal 2023 Compared to 2022</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a comparison of our results of operations for the fiscal years ended December 31, 2023 and 2022, see "Part II, Item 7. Management's Discussion and Analysis of Financial Condition and Results of Operations" of our annual report on Form 10-K for the fiscal year ended December 31, 2023, filed with the SEC on February 20,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Sources and Uses of Cash</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of September 30, 2024, our principal sources of liquidity were cash, cash equivalents and marketable securities totaling $776.4 million, which were held for working capital purposes. We have financed our operations primarily through cash generated from operations and issuances of convertible debt. We have generated significant operating losses as reflected in our accumulated deficit on our condensed consolidated balance sheets. While we expect to continue to incur operating losses and may incur negative cash flows from operations in the future, we believe that current cash and cash equivalents and cash flows from operating activities will be sufficient to fund our operations for at least the next twelve months.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Debt</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issued $702.0 million aggregate principal amount of our 1.250%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2026 Notes in separate and individually negotiated transactions with certain holders. As of September 30, 2024, we had outstanding debt relating to our 2026 Notes and 2028 Notes of $70.7 million and $693.5 million, with corresponding maturity dates of August 15, 2026 and August 15, 2028,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Plan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On July 30, 2024, our board of directors authorized a share repurchase program for up to $100.0 million of our outstanding Class A common stock (the “2024 Repurchase Plan”). The repurchases may be made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and it may be suspended or discontinued at any time. As of September 30, 2024, we have not made any repurchases under the 2024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 used in investing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 provided by financing activities</w:t>
      </w:r>
    </w:p>
    <w:p>
      <w:pPr>
        <w:spacing w:after="0" w:line="2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Net (decrease) increase in cash, cash equivalents, and restricted cash, net of impact of exchange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9"/>
        </w:trPr>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46,533</w:t>
            </w:r>
          </w:p>
        </w:tc>
      </w:tr>
      <w:tr>
        <w:trPr>
          <w:trHeight w:val="230"/>
        </w:trPr>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(182,044)</w:t>
            </w:r>
          </w:p>
        </w:tc>
      </w:tr>
      <w:tr>
        <w:trPr>
          <w:trHeight w:val="234"/>
        </w:trPr>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300,281</w:t>
            </w:r>
          </w:p>
        </w:tc>
      </w:tr>
      <w:tr>
        <w:trPr>
          <w:trHeight w:val="32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205,946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-642620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-350520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5000" w:space="180"/>
            <w:col w:w="6060"/>
          </w:cols>
          <w:pgMar w:left="320" w:top="121" w:right="339" w:bottom="1440" w:gutter="0" w:footer="0" w:header="0"/>
        </w:sect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spacing w:after="0" w:line="1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Cash provided by operating activities of $18.9 million for the three months ended September 30, 2024 consisted of a net loss of $17.0 million adjusted for non-cash charges of $28.5 million and net cash inflows of $7.4 million from changes in operating assets and liabilities. The change in operating assets and liabilities was primarily driven by an increase in deferred revenue which was due in part to an increase in large contracts signed in the period coupled with growth in our customer base. The increases in accounts receivable, other receivables, and accounts payable as well as the decrease in accrued expenses and other liabilities were attributable primarily to the timing of cash payments and collections.</w:t>
      </w:r>
    </w:p>
    <w:p>
      <w:pPr>
        <w:spacing w:after="0" w:line="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Cash provided by operating activities of $15.0 million for the three months ended September 30, 2023 consisted of a net loss of $56.3 million adjusted for non-cash charges of $65.7 million and net cash inflows of $5.5 million from changes in operating assets and liabilities. The adjustments for non-cash charges included a $45.1 million loss on induced conversion from the partial repurchase of our 2026 Notes. Customer growth and contract renewals for longer terms accounted for most of the increase in deferred revenue. Deferred costs decreased primarily due to the amortization of direct and incremental costs of obtaining a customer contract. The increases in accounts receivable, other receivables, and accrued expenses and other liabilities as well as the decreases in prepaid expenses and other assets were attributable primarily to the timing of our billings, cash collections, and cash payments.</w:t>
      </w:r>
    </w:p>
    <w:p>
      <w:pPr>
        <w:spacing w:after="0" w:line="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Cash provided by operating activities of $43.7 million for the nine months ended September 30, 2024 consisted of a net loss of $46.2 million adjusted for non-cash charges of $75.9 million and net cash inflows of $14.0 million from changes in operating assets and liabilities. The adjustments for non-cash charges included a $45.1 million loss on induced conversion from the partial repurchase of our 2026 Notes. The change in operating assets and liabilities was primarily driven by an increase in deferred revenue which was due in part to multi-year prepaid customer contracts coupled with growth in our customer base. The increase in deferred costs was primarily due to growth in subscription bookings. The increases in accounts receivable, other assets, accounts payable, and accrued expenses and other liabilities as well as the decreases in other receivables and prepaid expenses were attributable primarily to the timing of our billings, cash collections, and cash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Cash provided by operating activities of $46.5 million for the nine months ended September 30, 2023 consisted of a net loss of $123.3 million adjusted for non-cash charges of $128.9 million and net cash inflows of $41.0 million from changes in operating assets and liabilities. Customer growth accounted for most of the increase in deferred revenue. Deferred costs decreased primarily due to the amortization of direct and incremental costs of obtaining a customer contract. The increases in other receivables, prepaid expenses, and accrued expenses and other liabilities as well as the decreases in accounts receivable and accounts payable were attributable primarily to the timing of our billings, cash collections, and cash payments.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used in investing activities of $49.6 million for the three months ended September 30, 2024 consisted of $158.5 million in purchases of marketable securities and $0.2 million for the acquisition of Sustain.Life partially offset by $109.0 million from the maturities of marketable securities.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Cash used in investing activities of $109.0 million for the three months ended September 30, 2023 consisted of $145.0 million in</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purchases of marketable securities and $0.9 million in purchases of fixed assets partially offset by $36.9 million from the maturities of marketable securities. Our capital expenditures were associated primarily with computer equipment in support of expanding our infrastructure and work force.</w:t>
      </w:r>
    </w:p>
    <w:p>
      <w:pPr>
        <w:spacing w:after="0" w:line="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Cash used in investing activities of $58.5 million for the nine months ended September 30, 2024 consisted of $310.1 million in purchases of marketable securities, $98.1 million for the acquisition of Sustain.Life, and $0.6 million in purchases of fixed assets partially offset by $345.7 million from the maturities of marketable securities and $4.6 million from the sale of marketable securities. Our capital expenditures were associated primarily with computer equipment in support of expanding our infrastructure and work force.</w:t>
      </w:r>
    </w:p>
    <w:p>
      <w:pPr>
        <w:spacing w:after="0" w:line="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Cash used in investing activities of $182.0 million for the nine months ended September 30, 2023 consisted of $322.0 million in purchases of marketable securities and $1.7 million in purchases of fixed assets partially offset by $65.1 million from the sale of marketable securities and $76.8 million from the maturities of marketable securities. Our capital expenditures were associated primarily with computer equipment in support of expanding our infrastructure and work force.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provided by financing activities of $8.7 million for the three months ended September 30, 2024 consisted of $6.7 million in proceeds from shares issued in connection with our Employee Stock Purchase Plan ("ESPP") and $3.3 million in proceeds from option exercises partially offset by $1.2 million in taxes paid related to net share settlements of stock-based compensation awards.</w:t>
      </w:r>
    </w:p>
    <w:p>
      <w:pPr>
        <w:spacing w:after="0" w:line="6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0"/>
          <w:szCs w:val="20"/>
          <w:color w:val="auto"/>
        </w:rPr>
        <w:t>Cash provided by financing activities of $301.2 million for the three months ended September 30, 2023 consisted of $691.1 million in proceeds from the issuance of the 2028 Notes, net of issuance costs, $7.0 million in proceeds from shares issued in connection with our</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ESPP, and $1.1 million in proceeds from option exercises partially offset by $396.9 million paid for the partial repurchase of our 2026 Notes and $1.0 million in taxes paid related to net share settlements of stock-based compensation awards.</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Cash provided by financing activities of $5.9 million for the nine months ended September 30, 2024 consisted of $13.8 million in proceeds from shares issued in connection with our ESPP and $3.9 million in proceeds from option exercises partially offset by $11.4 million in taxes paid related to net share settlements of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Cash provided by financing activities of $300.3 million for the nine months ended September 30, 2023 consisted of $691.1 million in proceeds from the issuance of the 2028 Notes, net of issuance costs, $12.5 million in proceeds from shares issued in connection with our ESPP, and $3.3 million in proceeds from option exercises partially offset by $396.9 million paid for the partial repurchase of our 2026 Notes and $9.4 million in taxes paid related to net share settlements of stock-based compensation awards.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2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There were no material changes in our contractual obligations and commitments from those disclosed in the Annual Report on Form 10-K for the year ended December 31, 2023 filed with the SEC on February 20,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condensed consolidated financial statements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spacing w:after="0" w:line="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During the nine months ended September 30, 2024, there were no significant changes to our critical accounting policies and estimates as described in the financial statements contained in the Annual Report on Form 10-K for the year ended December 31, 2023 filed with the SEC on February 20, 2024.</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quantitative and qualitative disclosures about market risk, see “Item 7A., Quantitative and Qualitative Disclosures About Market Risk” of our Annual Report on Form 10-K for the year ended December 31, 2023. Our exposures to market risk have not changed materially since December 31, 2023.</w:t>
      </w:r>
    </w:p>
    <w:p>
      <w:pPr>
        <w:spacing w:after="0" w:line="16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the Effectiveness of Controls and Procedures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addition to the other information set forth in this report, you should carefully consider the factors discussed in Part I, “Item 1A. Risk Factors” in our 2023 Annual Report on Form 10-K, which could materially affect our business, financial condition or future results. There have been no material changes during fiscal year 2024 to the risk factors that were included in the Form 10-K, other than what is set forth immediately below.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7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The amount, frequency and execution of our share repurchases pursuant to the 2024 Repurchase Plan may fluctuate based on our operating results, cash flows, priorities for the use of cash for other purposes.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$100.0 million of our outstanding Class A common stock, the authorization does not obligate us to repurchase any common stock, and we may not ultimately purchase any common stock.</w:t>
      </w:r>
    </w:p>
    <w:p>
      <w:pPr>
        <w:spacing w:after="0" w:line="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cannot guarantee that our share repurchase authorization pursuant to the 2024 Repurchase Plan will be fully consummated or that it will enhance long-term shareholder value. The repurchase authorization could affect the trading price of our stock and increase volatility. Price volatility may cause the average price at which we repurchase our common stock in a given period to exceed the common stock’s price at a given point in time. There can be no assurance that the time frame for repurchases under our 2024 Repurchase Plan or that any repurchases will have a positive impact on our stock price or earnings per share. Important factors that could cause us to discontinue or decrease our stock repurchases include, among others, unfavorable market conditions, the market price of our common stock, the nature of other investment or strategic opportunities presented to us from time to time and the availability of funds necessary to fulfill such repurchases.</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of Unregistered Securities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and Officer Trading Arrangements</w:t>
      </w:r>
    </w:p>
    <w:p>
      <w:pPr>
        <w:spacing w:after="0" w:line="11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During the three months ended September 30,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10280" w:type="dxa"/>
            <w:vAlign w:val="bottom"/>
            <w:gridSpan w:val="8"/>
          </w:tcPr>
          <w:p>
            <w:pPr>
              <w:ind w:left="60"/>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1000" w:type="dxa"/>
            <w:vAlign w:val="bottom"/>
            <w:gridSpan w:val="10"/>
          </w:tcPr>
          <w:p>
            <w:pPr>
              <w:ind w:left="640"/>
              <w:spacing w:after="0"/>
              <w:rPr>
                <w:sz w:val="20"/>
                <w:szCs w:val="20"/>
                <w:color w:val="auto"/>
              </w:rPr>
            </w:pPr>
            <w:r>
              <w:rPr>
                <w:rFonts w:ascii="Times New Roman" w:cs="Times New Roman" w:eastAsia="Times New Roman" w:hAnsi="Times New Roman"/>
                <w:sz w:val="20"/>
                <w:szCs w:val="20"/>
                <w:color w:val="auto"/>
              </w:rPr>
              <w:t>The following exhibits are being filed herewith or incorporated by reference herein: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16"/>
                <w:szCs w:val="16"/>
                <w:color w:val="auto"/>
              </w:rPr>
            </w:pPr>
          </w:p>
        </w:tc>
        <w:tc>
          <w:tcPr>
            <w:tcW w:w="90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220" w:type="dxa"/>
            <w:vAlign w:val="bottom"/>
          </w:tcPr>
          <w:p>
            <w:pPr>
              <w:spacing w:after="0"/>
              <w:rPr>
                <w:sz w:val="17"/>
                <w:szCs w:val="17"/>
                <w:color w:val="auto"/>
              </w:rPr>
            </w:pPr>
          </w:p>
        </w:tc>
        <w:tc>
          <w:tcPr>
            <w:tcW w:w="90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60" w:type="dxa"/>
            <w:vAlign w:val="bottom"/>
            <w:gridSpan w:val="7"/>
          </w:tcPr>
          <w:p>
            <w:pPr>
              <w:ind w:left="20"/>
              <w:spacing w:after="0" w:line="205" w:lineRule="exact"/>
              <w:rPr>
                <w:sz w:val="20"/>
                <w:szCs w:val="20"/>
                <w:color w:val="auto"/>
              </w:rPr>
            </w:pPr>
            <w:r>
              <w:rPr>
                <w:rFonts w:ascii="Times New Roman" w:cs="Times New Roman" w:eastAsia="Times New Roman" w:hAnsi="Times New Roman"/>
                <w:sz w:val="18"/>
                <w:szCs w:val="18"/>
                <w:color w:val="auto"/>
              </w:rPr>
              <w:t>Agreement and Plan of Merger, dated as of June 17, 2024, by and among the Company, Sustain, Merger Sub and Sellers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60" w:type="dxa"/>
            <w:vAlign w:val="bottom"/>
            <w:gridSpan w:val="7"/>
          </w:tcPr>
          <w:p>
            <w:pPr>
              <w:ind w:left="20"/>
              <w:spacing w:after="0" w:line="181" w:lineRule="exact"/>
              <w:rPr>
                <w:sz w:val="20"/>
                <w:szCs w:val="20"/>
                <w:color w:val="auto"/>
              </w:rPr>
            </w:pPr>
            <w:r>
              <w:rPr>
                <w:rFonts w:ascii="Times New Roman" w:cs="Times New Roman" w:eastAsia="Times New Roman" w:hAnsi="Times New Roman"/>
                <w:sz w:val="18"/>
                <w:szCs w:val="18"/>
                <w:color w:val="auto"/>
              </w:rPr>
              <w:t>Representative, incorporated by reference from Exhibit 2.1 to the Company's Current Report on Form 8-K filed on June 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13a-14(a)/15d-14(a), as adopted pursuant to Section 302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980" w:type="dxa"/>
            <w:vAlign w:val="bottom"/>
            <w:tcBorders>
              <w:top w:val="single" w:sz="8" w:color="0000FF"/>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13a-14(a)/15d-14(a), as adopted pursuant to Section 302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940" w:type="dxa"/>
            <w:vAlign w:val="bottom"/>
            <w:tcBorders>
              <w:top w:val="single" w:sz="8" w:color="0000FF"/>
            </w:tcBorders>
            <w:gridSpan w:val="5"/>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40" w:type="dxa"/>
            <w:vAlign w:val="bottom"/>
            <w:tcBorders>
              <w:top w:val="single" w:sz="8" w:color="0000FF"/>
            </w:tcBorders>
            <w:gridSpan w:val="4"/>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0" w:type="dxa"/>
            <w:vAlign w:val="bottom"/>
            <w:tcBorders>
              <w:top w:val="single" w:sz="8" w:color="0000FF"/>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9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The following financial information from Workiva Inc.'s Quarterly Report on Form 10-Q for the quarter ended September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60" w:type="dxa"/>
            <w:vAlign w:val="bottom"/>
            <w:gridSpan w:val="7"/>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2024 formatted in Inline XBRL (Extensible Business Reporting Language) includes: (i) the Condensed Consolidated Balance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6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auto"/>
              </w:rPr>
              <w:t>Sheets, (ii) the Condensed Consolidated Statements of Operations, (iii) the Condensed Consolidated Statements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gridSpan w:val="7"/>
          </w:tcPr>
          <w:p>
            <w:pPr>
              <w:ind w:left="20"/>
              <w:spacing w:after="0" w:line="184" w:lineRule="exact"/>
              <w:rPr>
                <w:sz w:val="20"/>
                <w:szCs w:val="20"/>
                <w:color w:val="auto"/>
              </w:rPr>
            </w:pPr>
            <w:r>
              <w:rPr>
                <w:rFonts w:ascii="Times New Roman" w:cs="Times New Roman" w:eastAsia="Times New Roman" w:hAnsi="Times New Roman"/>
                <w:sz w:val="18"/>
                <w:szCs w:val="18"/>
                <w:color w:val="auto"/>
              </w:rPr>
              <w:t>Comprehensive Loss, (iv) the Consolidated Statements of Changes in Stockholders Equity (Deficit), (v) the Condensed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and (vi) Notes to the Condensed Consolidated Financial Statements.</w:t>
            </w:r>
          </w:p>
        </w:tc>
        <w:tc>
          <w:tcPr>
            <w:tcW w:w="0" w:type="dxa"/>
            <w:vAlign w:val="bottom"/>
          </w:tcPr>
          <w:p>
            <w:pPr>
              <w:spacing w:after="0"/>
              <w:rPr>
                <w:sz w:val="1"/>
                <w:szCs w:val="1"/>
                <w:color w:val="auto"/>
              </w:rPr>
            </w:pPr>
          </w:p>
        </w:tc>
      </w:tr>
      <w:tr>
        <w:trPr>
          <w:trHeight w:val="283"/>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this 6th day of November, 2024.</w:t>
      </w:r>
    </w:p>
    <w:p>
      <w:pPr>
        <w:spacing w:after="0" w:line="8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b w:val="1"/>
          <w:bCs w:val="1"/>
          <w:color w:val="auto"/>
        </w:rPr>
        <w:t>WORKIVA INC.</w:t>
      </w:r>
    </w:p>
    <w:p>
      <w:pPr>
        <w:spacing w:after="0" w:line="76" w:lineRule="exact"/>
        <w:rPr>
          <w:sz w:val="20"/>
          <w:szCs w:val="20"/>
          <w:color w:val="auto"/>
        </w:rPr>
      </w:pPr>
    </w:p>
    <w:tbl>
      <w:tblPr>
        <w:tblLayout w:type="fixed"/>
        <w:tblInd w:w="678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Julie Iskow</w:t>
            </w:r>
          </w:p>
        </w:tc>
        <w:tc>
          <w:tcPr>
            <w:tcW w:w="1960" w:type="dxa"/>
            <w:vAlign w:val="bottom"/>
          </w:tcPr>
          <w:p>
            <w:pPr>
              <w:spacing w:after="0"/>
              <w:rPr>
                <w:sz w:val="17"/>
                <w:szCs w:val="17"/>
                <w:color w:val="auto"/>
              </w:rPr>
            </w:pPr>
          </w:p>
        </w:tc>
      </w:t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Julie Iskow</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Jill Klindt</w:t>
            </w:r>
          </w:p>
        </w:tc>
        <w:tc>
          <w:tcPr>
            <w:tcW w:w="2060" w:type="dxa"/>
            <w:vAlign w:val="bottom"/>
            <w:gridSpan w:val="2"/>
          </w:tcPr>
          <w:p>
            <w:pPr>
              <w:spacing w:after="0"/>
              <w:rPr>
                <w:sz w:val="24"/>
                <w:szCs w:val="24"/>
                <w:color w:val="auto"/>
              </w:rPr>
            </w:pPr>
          </w:p>
        </w:tc>
      </w:t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Jill Klindt</w:t>
            </w:r>
          </w:p>
        </w:tc>
      </w:tr>
      <w:tr>
        <w:trPr>
          <w:trHeight w:val="184"/>
        </w:trPr>
        <w:tc>
          <w:tcPr>
            <w:tcW w:w="8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30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w:t>
            </w:r>
          </w:p>
        </w:tc>
      </w:tr>
      <w:tr>
        <w:trPr>
          <w:trHeight w:val="234"/>
        </w:trPr>
        <w:tc>
          <w:tcPr>
            <w:tcW w:w="88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21"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Iskow, certify that:</w:t>
      </w:r>
    </w:p>
    <w:p>
      <w:pPr>
        <w:spacing w:after="0" w:line="10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Workiva Inc.;</w:t>
      </w:r>
    </w:p>
    <w:p>
      <w:pPr>
        <w:spacing w:after="0" w:line="252" w:lineRule="exact"/>
        <w:rPr>
          <w:rFonts w:ascii="Times New Roman" w:cs="Times New Roman" w:eastAsia="Times New Roman" w:hAnsi="Times New Roman"/>
          <w:sz w:val="18"/>
          <w:szCs w:val="18"/>
          <w:color w:val="auto"/>
        </w:rPr>
      </w:pPr>
    </w:p>
    <w:p>
      <w:pPr>
        <w:ind w:right="240" w:firstLine="8"/>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40" w:firstLine="8"/>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50" w:lineRule="auto"/>
        <w:tabs>
          <w:tab w:leader="none" w:pos="3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hanging="4"/>
        <w:spacing w:after="0" w:line="266" w:lineRule="auto"/>
        <w:tabs>
          <w:tab w:leader="none" w:pos="10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8"/>
          <w:szCs w:val="18"/>
          <w:color w:val="auto"/>
        </w:rPr>
      </w:pPr>
    </w:p>
    <w:p>
      <w:pPr>
        <w:ind w:left="660" w:right="540" w:hanging="4"/>
        <w:spacing w:after="0" w:line="282" w:lineRule="auto"/>
        <w:tabs>
          <w:tab w:leader="none" w:pos="10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300" w:firstLine="8"/>
        <w:spacing w:after="0" w:line="282" w:lineRule="auto"/>
        <w:tabs>
          <w:tab w:leader="none" w:pos="3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40" w:hanging="4"/>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10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2024</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Julie Iskow</w:t>
            </w:r>
          </w:p>
        </w:tc>
      </w:tr>
      <w:tr>
        <w:trPr>
          <w:trHeight w:val="142"/>
        </w:trPr>
        <w:tc>
          <w:tcPr>
            <w:tcW w:w="484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Julie Iskow</w:t>
            </w:r>
          </w:p>
        </w:tc>
        <w:tc>
          <w:tcPr>
            <w:tcW w:w="1700" w:type="dxa"/>
            <w:vAlign w:val="bottom"/>
          </w:tcPr>
          <w:p>
            <w:pPr>
              <w:spacing w:after="0"/>
              <w:rPr>
                <w:sz w:val="12"/>
                <w:szCs w:val="12"/>
                <w:color w:val="auto"/>
              </w:rPr>
            </w:pPr>
          </w:p>
        </w:tc>
      </w:tr>
      <w:tr>
        <w:trPr>
          <w:trHeight w:val="184"/>
        </w:trPr>
        <w:tc>
          <w:tcPr>
            <w:tcW w:w="4840" w:type="dxa"/>
            <w:vAlign w:val="bottom"/>
          </w:tcPr>
          <w:p>
            <w:pPr>
              <w:spacing w:after="0"/>
              <w:rPr>
                <w:sz w:val="16"/>
                <w:szCs w:val="16"/>
                <w:color w:val="auto"/>
              </w:rPr>
            </w:pPr>
          </w:p>
        </w:tc>
        <w:tc>
          <w:tcPr>
            <w:tcW w:w="27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48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20"/>
          </w:cols>
          <w:pgMar w:left="320" w:top="860" w:right="35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Klindt, certify that:</w:t>
      </w:r>
    </w:p>
    <w:p>
      <w:pPr>
        <w:spacing w:after="0" w:line="10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Workiva Inc.;</w:t>
      </w:r>
    </w:p>
    <w:p>
      <w:pPr>
        <w:spacing w:after="0" w:line="252" w:lineRule="exact"/>
        <w:rPr>
          <w:rFonts w:ascii="Times New Roman" w:cs="Times New Roman" w:eastAsia="Times New Roman" w:hAnsi="Times New Roman"/>
          <w:sz w:val="18"/>
          <w:szCs w:val="18"/>
          <w:color w:val="auto"/>
        </w:rPr>
      </w:pPr>
    </w:p>
    <w:p>
      <w:pPr>
        <w:ind w:right="240" w:firstLine="8"/>
        <w:spacing w:after="0" w:line="28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40" w:firstLine="8"/>
        <w:spacing w:after="0" w:line="282"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50" w:lineRule="auto"/>
        <w:tabs>
          <w:tab w:leader="none" w:pos="3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hanging="4"/>
        <w:spacing w:after="0" w:line="266" w:lineRule="auto"/>
        <w:tabs>
          <w:tab w:leader="none" w:pos="10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8"/>
          <w:szCs w:val="18"/>
          <w:color w:val="auto"/>
        </w:rPr>
      </w:pPr>
    </w:p>
    <w:p>
      <w:pPr>
        <w:ind w:left="660" w:right="540" w:hanging="4"/>
        <w:spacing w:after="0" w:line="282" w:lineRule="auto"/>
        <w:tabs>
          <w:tab w:leader="none" w:pos="10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300" w:firstLine="8"/>
        <w:spacing w:after="0" w:line="282" w:lineRule="auto"/>
        <w:tabs>
          <w:tab w:leader="none" w:pos="3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40" w:hanging="4"/>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10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2024</w:t>
            </w: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Jill Klindt</w:t>
            </w:r>
          </w:p>
        </w:tc>
      </w:tr>
      <w:tr>
        <w:trPr>
          <w:trHeight w:val="142"/>
        </w:trPr>
        <w:tc>
          <w:tcPr>
            <w:tcW w:w="4600" w:type="dxa"/>
            <w:vAlign w:val="bottom"/>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Jill Klindt</w:t>
            </w:r>
          </w:p>
        </w:tc>
        <w:tc>
          <w:tcPr>
            <w:tcW w:w="3660" w:type="dxa"/>
            <w:vAlign w:val="bottom"/>
          </w:tcPr>
          <w:p>
            <w:pPr>
              <w:spacing w:after="0"/>
              <w:rPr>
                <w:sz w:val="12"/>
                <w:szCs w:val="12"/>
                <w:color w:val="auto"/>
              </w:rPr>
            </w:pPr>
          </w:p>
        </w:tc>
      </w:tr>
      <w:tr>
        <w:trPr>
          <w:trHeight w:val="184"/>
        </w:trPr>
        <w:tc>
          <w:tcPr>
            <w:tcW w:w="4600" w:type="dxa"/>
            <w:vAlign w:val="bottom"/>
          </w:tcPr>
          <w:p>
            <w:pPr>
              <w:spacing w:after="0"/>
              <w:rPr>
                <w:sz w:val="16"/>
                <w:szCs w:val="16"/>
                <w:color w:val="auto"/>
              </w:rPr>
            </w:pPr>
          </w:p>
        </w:tc>
        <w:tc>
          <w:tcPr>
            <w:tcW w:w="4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r>
        <w:trPr>
          <w:trHeight w:val="234"/>
        </w:trPr>
        <w:tc>
          <w:tcPr>
            <w:tcW w:w="460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20"/>
          </w:cols>
          <w:pgMar w:left="320" w:top="860" w:right="359" w:bottom="1440" w:gutter="0" w:footer="0" w:header="0"/>
        </w:sectPr>
      </w:pPr>
    </w:p>
    <w:bookmarkStart w:id="47" w:name="page48"/>
    <w:bookmarkEnd w:id="47"/>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UNDER SECTION 906 OF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0" w:lineRule="exact"/>
        <w:rPr>
          <w:sz w:val="20"/>
          <w:szCs w:val="20"/>
          <w:color w:val="auto"/>
        </w:rPr>
      </w:pPr>
    </w:p>
    <w:p>
      <w:pPr>
        <w:spacing w:after="0" w:line="27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I, Julie Iskow, President and Chief Executive Officer of Workiva Inc. (the “Company”), do hereby certify, pursuant to 18 U.S.C. Section 1350, as adopted pursuant to Section 906 of the Sarbanes-Oxley Act of 2002, that to the best of my knowledge:</w:t>
      </w:r>
    </w:p>
    <w:p>
      <w:pPr>
        <w:spacing w:after="0" w:line="189" w:lineRule="exact"/>
        <w:rPr>
          <w:sz w:val="20"/>
          <w:szCs w:val="20"/>
          <w:color w:val="auto"/>
        </w:rPr>
      </w:pPr>
    </w:p>
    <w:p>
      <w:pPr>
        <w:ind w:left="660" w:hanging="328"/>
        <w:spacing w:after="0" w:line="32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2024</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Julie Iskow</w:t>
            </w:r>
          </w:p>
        </w:tc>
      </w:tr>
      <w:tr>
        <w:trPr>
          <w:trHeight w:val="142"/>
        </w:trPr>
        <w:tc>
          <w:tcPr>
            <w:tcW w:w="486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Julie Iskow</w:t>
            </w:r>
          </w:p>
        </w:tc>
        <w:tc>
          <w:tcPr>
            <w:tcW w:w="1700" w:type="dxa"/>
            <w:vAlign w:val="bottom"/>
          </w:tcPr>
          <w:p>
            <w:pPr>
              <w:spacing w:after="0"/>
              <w:rPr>
                <w:sz w:val="12"/>
                <w:szCs w:val="12"/>
                <w:color w:val="auto"/>
              </w:rPr>
            </w:pPr>
          </w:p>
        </w:tc>
      </w:tr>
      <w:tr>
        <w:trPr>
          <w:trHeight w:val="184"/>
        </w:trPr>
        <w:tc>
          <w:tcPr>
            <w:tcW w:w="4860" w:type="dxa"/>
            <w:vAlign w:val="bottom"/>
          </w:tcPr>
          <w:p>
            <w:pPr>
              <w:spacing w:after="0"/>
              <w:rPr>
                <w:sz w:val="16"/>
                <w:szCs w:val="16"/>
                <w:color w:val="auto"/>
              </w:rPr>
            </w:pPr>
          </w:p>
        </w:tc>
        <w:tc>
          <w:tcPr>
            <w:tcW w:w="27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48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440" w:right="339" w:bottom="1440" w:gutter="0" w:footer="0" w:header="0"/>
        </w:sectPr>
      </w:pPr>
    </w:p>
    <w:bookmarkStart w:id="48" w:name="page49"/>
    <w:bookmarkEnd w:id="48"/>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 OF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Klindt, Executive Vice President, Chief Financial Officer, and Treasurer of Workiva Inc. (the “Company”), do hereby certify, pursuant to 18 U.S.C.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93" w:lineRule="exact"/>
        <w:rPr>
          <w:sz w:val="20"/>
          <w:szCs w:val="20"/>
          <w:color w:val="auto"/>
        </w:rPr>
      </w:pPr>
    </w:p>
    <w:p>
      <w:pPr>
        <w:ind w:left="660" w:hanging="328"/>
        <w:spacing w:after="0" w:line="32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2024</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Jill Klindt</w:t>
            </w:r>
          </w:p>
        </w:tc>
      </w:tr>
      <w:tr>
        <w:trPr>
          <w:trHeight w:val="142"/>
        </w:trPr>
        <w:tc>
          <w:tcPr>
            <w:tcW w:w="4840" w:type="dxa"/>
            <w:vAlign w:val="bottom"/>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Jill Klindt</w:t>
            </w:r>
          </w:p>
        </w:tc>
        <w:tc>
          <w:tcPr>
            <w:tcW w:w="3700" w:type="dxa"/>
            <w:vAlign w:val="bottom"/>
          </w:tcPr>
          <w:p>
            <w:pPr>
              <w:spacing w:after="0"/>
              <w:rPr>
                <w:sz w:val="12"/>
                <w:szCs w:val="12"/>
                <w:color w:val="auto"/>
              </w:rPr>
            </w:pPr>
          </w:p>
        </w:tc>
      </w:tr>
      <w:tr>
        <w:trPr>
          <w:trHeight w:val="184"/>
        </w:trPr>
        <w:tc>
          <w:tcPr>
            <w:tcW w:w="4840" w:type="dxa"/>
            <w:vAlign w:val="bottom"/>
          </w:tcPr>
          <w:p>
            <w:pPr>
              <w:spacing w:after="0"/>
              <w:rPr>
                <w:sz w:val="16"/>
                <w:szCs w:val="16"/>
                <w:color w:val="auto"/>
              </w:rPr>
            </w:pPr>
          </w:p>
        </w:tc>
        <w:tc>
          <w:tcPr>
            <w:tcW w:w="46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 Officer, and Treasurer</w:t>
            </w:r>
          </w:p>
        </w:tc>
      </w:tr>
      <w:tr>
        <w:trPr>
          <w:trHeight w:val="234"/>
        </w:trPr>
        <w:tc>
          <w:tcPr>
            <w:tcW w:w="48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8"/>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2024-11-06T16:07:21Z</dcterms:created>
  <dcterms:modified xsi:type="dcterms:W3CDTF">2024-11-06T16:07:21Z</dcterms:modified>
</cp:coreProperties>
</file>