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pPr>
      <w:r>
        <w:rPr>
          <w:rFonts w:ascii="Times New Roman;serif" w:hAnsi="Times New Roman;serif"/>
          <w:b/>
          <w:color w:val="000000"/>
          <w:sz w:val="32"/>
        </w:rPr>
        <w:t xml:space="preserve">FORM </w:t>
      </w:r>
      <w:r>
        <w:rPr>
          <w:rFonts w:ascii="Times New Roman;serif" w:hAnsi="Times New Roman;serif"/>
          <w:b/>
          <w:color w:val="000000"/>
          <w:sz w:val="36"/>
        </w:rPr>
        <w:t>10-Q</w:t>
      </w:r>
      <w:r>
        <w:rPr>
          <w:color w:val="000000"/>
        </w:rPr>
        <w:t xml:space="preserve">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702" w:type="dxa"/>
        <w:jc w:val="center"/>
        <w:tblInd w:w="0" w:type="dxa"/>
        <w:tblLayout w:type="fixed"/>
        <w:tblCellMar>
          <w:top w:w="28" w:type="dxa"/>
          <w:left w:w="28" w:type="dxa"/>
          <w:bottom w:w="28" w:type="dxa"/>
          <w:right w:w="28" w:type="dxa"/>
        </w:tblCellMar>
      </w:tblPr>
      <w:tblGrid>
        <w:gridCol w:w="1680"/>
        <w:gridCol w:w="1482"/>
        <w:gridCol w:w="1482"/>
        <w:gridCol w:w="1482"/>
        <w:gridCol w:w="1482"/>
        <w:gridCol w:w="2094"/>
      </w:tblGrid>
      <w:tr>
        <w:trPr/>
        <w:tc>
          <w:tcPr>
            <w:tcW w:w="168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r>
              <w:rPr>
                <w:color w:val="000000"/>
              </w:rPr>
              <w:t xml:space="preserve">☒ </w:t>
            </w:r>
            <w:r>
              <w:rPr>
                <w:rFonts w:ascii="Times New Roman;serif" w:hAnsi="Times New Roman;serif"/>
                <w:b/>
                <w:color w:val="000000"/>
                <w:sz w:val="18"/>
              </w:rPr>
              <w:t>QUARTERLY REPORT PURSUANT TO SECTION 13 OR 15(d) OF THE SECURITIES EXCHANGE ACT OF 1934</w:t>
            </w:r>
          </w:p>
        </w:tc>
      </w:tr>
      <w:tr>
        <w:trPr/>
        <w:tc>
          <w:tcPr>
            <w:tcW w:w="9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erif" w:hAnsi="Times New Roman;serif"/>
                <w:b/>
                <w:color w:val="000000"/>
                <w:sz w:val="18"/>
              </w:rPr>
            </w:pPr>
            <w:r>
              <w:rPr>
                <w:rFonts w:ascii="Times New Roman;serif" w:hAnsi="Times New Roman;serif"/>
                <w:b/>
                <w:color w:val="000000"/>
                <w:sz w:val="18"/>
              </w:rPr>
              <w:t>For transition period from               to</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erif" w:hAnsi="Times New Roman;serif"/>
                <w:b/>
                <w:color w:val="000000"/>
                <w:sz w:val="18"/>
              </w:rPr>
            </w:pPr>
            <w:r>
              <w:rPr>
                <w:rFonts w:ascii="Times New Roman;serif" w:hAnsi="Times New Roman;serif"/>
                <w:b/>
                <w:color w:val="000000"/>
                <w:sz w:val="18"/>
              </w:rPr>
              <w:t>Commission File Number 001-36773</w:t>
            </w:r>
          </w:p>
        </w:tc>
      </w:tr>
    </w:tbl>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120" w:after="60"/>
        <w:jc w:val="center"/>
        <w:rPr>
          <w:rFonts w:ascii="Times New Roman;serif" w:hAnsi="Times New Roman;serif"/>
          <w:b/>
          <w:color w:val="000000"/>
          <w:sz w:val="36"/>
        </w:rPr>
      </w:pPr>
      <w:r>
        <w:rPr>
          <w:rFonts w:ascii="Times New Roman;serif" w:hAnsi="Times New Roman;serif"/>
          <w:b/>
          <w:color w:val="000000"/>
          <w:sz w:val="36"/>
        </w:rPr>
        <w:t xml:space="preserve">WORKIVA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676" w:type="dxa"/>
        <w:jc w:val="center"/>
        <w:tblInd w:w="0" w:type="dxa"/>
        <w:tblLayout w:type="fixed"/>
        <w:tblCellMar>
          <w:top w:w="28" w:type="dxa"/>
          <w:left w:w="28" w:type="dxa"/>
          <w:bottom w:w="28" w:type="dxa"/>
          <w:right w:w="28" w:type="dxa"/>
        </w:tblCellMar>
      </w:tblPr>
      <w:tblGrid>
        <w:gridCol w:w="798"/>
        <w:gridCol w:w="701"/>
        <w:gridCol w:w="701"/>
        <w:gridCol w:w="701"/>
        <w:gridCol w:w="701"/>
        <w:gridCol w:w="717"/>
        <w:gridCol w:w="109"/>
        <w:gridCol w:w="109"/>
        <w:gridCol w:w="109"/>
        <w:gridCol w:w="886"/>
        <w:gridCol w:w="886"/>
        <w:gridCol w:w="1258"/>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47-2509828</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2900 University Blvd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Ames, IA 50010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ableContents"/>
              <w:bidi w:val="0"/>
              <w:spacing w:before="0" w:after="0"/>
              <w:jc w:val="center"/>
              <w:rPr/>
            </w:pPr>
            <w:r>
              <w:rPr/>
            </w:r>
          </w:p>
        </w:tc>
      </w:tr>
    </w:tbl>
    <w:tbl>
      <w:tblPr>
        <w:tblW w:w="8045" w:type="dxa"/>
        <w:jc w:val="left"/>
        <w:tblInd w:w="0" w:type="dxa"/>
        <w:tblLayout w:type="fixed"/>
        <w:tblCellMar>
          <w:top w:w="28" w:type="dxa"/>
          <w:left w:w="28" w:type="dxa"/>
          <w:bottom w:w="28" w:type="dxa"/>
          <w:right w:w="28" w:type="dxa"/>
        </w:tblCellMar>
      </w:tblPr>
      <w:tblGrid>
        <w:gridCol w:w="1137"/>
        <w:gridCol w:w="999"/>
        <w:gridCol w:w="999"/>
        <w:gridCol w:w="477"/>
        <w:gridCol w:w="477"/>
        <w:gridCol w:w="477"/>
        <w:gridCol w:w="1019"/>
        <w:gridCol w:w="1019"/>
        <w:gridCol w:w="1441"/>
      </w:tblGrid>
      <w:tr>
        <w:trP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120" w:after="60"/>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76" w:before="120" w:after="120"/>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76" w:before="120" w:after="6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64" w:type="dxa"/>
        <w:jc w:val="left"/>
        <w:tblInd w:w="0" w:type="dxa"/>
        <w:tblLayout w:type="fixed"/>
        <w:tblCellMar>
          <w:top w:w="28" w:type="dxa"/>
          <w:left w:w="28" w:type="dxa"/>
          <w:bottom w:w="28" w:type="dxa"/>
          <w:right w:w="28" w:type="dxa"/>
        </w:tblCellMar>
      </w:tblPr>
      <w:tblGrid>
        <w:gridCol w:w="750"/>
        <w:gridCol w:w="660"/>
        <w:gridCol w:w="660"/>
        <w:gridCol w:w="670"/>
        <w:gridCol w:w="670"/>
        <w:gridCol w:w="954"/>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r>
              <w:rPr>
                <w:rFonts w:ascii="Times New Roman;serif" w:hAnsi="Times New Roman;serif"/>
                <w:b w:val="false"/>
                <w:color w:val="000000"/>
                <w:sz w:val="18"/>
              </w:rPr>
              <w:t>Large accelerated filer    </w:t>
            </w: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Accelerated filer </w:t>
            </w:r>
            <w:r>
              <w:rPr>
                <w:rFonts w:ascii="Wingdings;sans-serif" w:hAnsi="Wingdings;sans-serif"/>
                <w:b w:val="false"/>
                <w:color w:val="000000"/>
                <w:sz w:val="20"/>
              </w:rPr>
              <w:t>o</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Non-accelerated filer</w:t>
            </w:r>
            <w:r>
              <w:rPr>
                <w:color w:val="000000"/>
              </w:rPr>
              <w:t>    </w:t>
            </w:r>
            <w:r>
              <w:rPr>
                <w:rFonts w:ascii="Wingdings;sans-serif" w:hAnsi="Wingdings;sans-serif"/>
                <w:b w:val="false"/>
                <w:color w:val="000000"/>
                <w:sz w:val="20"/>
              </w:rPr>
              <w:t>o</w:t>
            </w:r>
            <w:r>
              <w:rPr>
                <w:color w:val="000000"/>
              </w:rPr>
              <w:t xml:space="preserve">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bl>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April 29, 2026, there were approximately 52,549,753 shares of the registrant's Class A common stock and 3,569,583 shares of the registrant's Class B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68"/>
        <w:gridCol w:w="236"/>
        <w:gridCol w:w="237"/>
        <w:gridCol w:w="109"/>
        <w:gridCol w:w="109"/>
        <w:gridCol w:w="109"/>
        <w:gridCol w:w="2886"/>
        <w:gridCol w:w="2836"/>
        <w:gridCol w:w="2843"/>
        <w:gridCol w:w="167"/>
        <w:gridCol w:w="167"/>
        <w:gridCol w:w="238"/>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4865d3b727f456a8b9254cfdd373825_13">
              <w:r>
                <w:rPr>
                  <w:rStyle w:val="InternetLink"/>
                  <w:rFonts w:ascii="Times New Roman;serif" w:hAnsi="Times New Roman;serif"/>
                  <w:b/>
                  <w:color w:val="0000FF"/>
                  <w:sz w:val="20"/>
                  <w:u w:val="single"/>
                </w:rPr>
                <w:t>Part I. Financial Information</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6">
              <w:r>
                <w:rPr>
                  <w:rStyle w:val="InternetLink"/>
                  <w:rFonts w:ascii="Times New Roman;serif" w:hAnsi="Times New Roman;serif"/>
                  <w:b w:val="false"/>
                  <w:color w:val="0000FF"/>
                  <w:sz w:val="20"/>
                  <w:u w:val="single"/>
                </w:rPr>
                <w:t>Item 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6">
              <w:r>
                <w:rPr>
                  <w:rStyle w:val="InternetLink"/>
                  <w:rFonts w:ascii="Times New Roman;serif" w:hAnsi="Times New Roman;serif"/>
                  <w:b w:val="false"/>
                  <w:color w:val="0000FF"/>
                  <w:sz w:val="20"/>
                  <w:u w:val="single"/>
                </w:rPr>
                <w:t>Unaudited Consolidated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16">
              <w:r>
                <w:rPr>
                  <w:rStyle w:val="InternetLink"/>
                  <w:rFonts w:ascii="Times New Roman;serif" w:hAnsi="Times New Roman;serif"/>
                  <w:b w:val="false"/>
                  <w:color w:val="0000FF"/>
                  <w:sz w:val="20"/>
                  <w:u w:val="single"/>
                </w:rPr>
                <w:t>1</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9">
              <w:r>
                <w:rPr>
                  <w:rStyle w:val="InternetLink"/>
                  <w:rFonts w:ascii="Times New Roman;serif" w:hAnsi="Times New Roman;serif"/>
                  <w:b w:val="false"/>
                  <w:color w:val="000080"/>
                  <w:sz w:val="20"/>
                  <w:u w:val="single"/>
                </w:rPr>
                <w:t>C</w:t>
              </w:r>
            </w:hyperlink>
            <w:hyperlink w:anchor="i24865d3b727f456a8b9254cfdd373825_19">
              <w:r>
                <w:rPr>
                  <w:rStyle w:val="InternetLink"/>
                  <w:rFonts w:ascii="Times New Roman;serif" w:hAnsi="Times New Roman;serif"/>
                  <w:b w:val="false"/>
                  <w:color w:val="000080"/>
                  <w:sz w:val="20"/>
                  <w:u w:val="single"/>
                </w:rPr>
                <w:t>ondensed C</w:t>
              </w:r>
            </w:hyperlink>
            <w:hyperlink w:anchor="i24865d3b727f456a8b9254cfdd373825_19">
              <w:r>
                <w:rPr>
                  <w:rStyle w:val="InternetLink"/>
                  <w:rFonts w:ascii="Times New Roman;serif" w:hAnsi="Times New Roman;serif"/>
                  <w:b w:val="false"/>
                  <w:color w:val="000080"/>
                  <w:sz w:val="20"/>
                  <w:u w:val="single"/>
                </w:rPr>
                <w:t xml:space="preserve">onsolidated Balance Sheets as of </w:t>
              </w:r>
            </w:hyperlink>
            <w:hyperlink w:anchor="i24865d3b727f456a8b9254cfdd373825_19">
              <w:r>
                <w:rPr>
                  <w:rStyle w:val="InternetLink"/>
                  <w:rFonts w:ascii="Times New Roman;serif" w:hAnsi="Times New Roman;serif"/>
                  <w:b w:val="false"/>
                  <w:color w:val="000080"/>
                  <w:sz w:val="20"/>
                  <w:u w:val="single"/>
                </w:rPr>
                <w:t>March 31, 2026</w:t>
              </w:r>
            </w:hyperlink>
            <w:hyperlink w:anchor="i24865d3b727f456a8b9254cfdd373825_19">
              <w:r>
                <w:rPr>
                  <w:rStyle w:val="InternetLink"/>
                  <w:rFonts w:ascii="Times New Roman;serif" w:hAnsi="Times New Roman;serif"/>
                  <w:b w:val="false"/>
                  <w:color w:val="000080"/>
                  <w:sz w:val="20"/>
                  <w:u w:val="single"/>
                </w:rPr>
                <w:t xml:space="preserve"> and </w:t>
              </w:r>
            </w:hyperlink>
            <w:hyperlink w:anchor="i24865d3b727f456a8b9254cfdd373825_19">
              <w:r>
                <w:rPr>
                  <w:rStyle w:val="InternetLink"/>
                  <w:rFonts w:ascii="Times New Roman;serif" w:hAnsi="Times New Roman;serif"/>
                  <w:b w:val="false"/>
                  <w:color w:val="000080"/>
                  <w:sz w:val="20"/>
                  <w:u w:val="single"/>
                </w:rPr>
                <w:t>December 31,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19">
              <w:r>
                <w:rPr>
                  <w:rStyle w:val="InternetLink"/>
                  <w:rFonts w:ascii="Times New Roman;serif" w:hAnsi="Times New Roman;serif"/>
                  <w:b w:val="false"/>
                  <w:color w:val="0000FF"/>
                  <w:sz w:val="20"/>
                  <w:u w:val="single"/>
                </w:rPr>
                <w:t>1</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22">
              <w:r>
                <w:rPr>
                  <w:rStyle w:val="InternetLink"/>
                  <w:rFonts w:ascii="Times New Roman;serif" w:hAnsi="Times New Roman;serif"/>
                  <w:b w:val="false"/>
                  <w:color w:val="000080"/>
                  <w:sz w:val="20"/>
                  <w:u w:val="single"/>
                </w:rPr>
                <w:t>C</w:t>
              </w:r>
            </w:hyperlink>
            <w:hyperlink w:anchor="i24865d3b727f456a8b9254cfdd373825_22">
              <w:r>
                <w:rPr>
                  <w:rStyle w:val="InternetLink"/>
                  <w:rFonts w:ascii="Times New Roman;serif" w:hAnsi="Times New Roman;serif"/>
                  <w:b w:val="false"/>
                  <w:color w:val="000080"/>
                  <w:sz w:val="20"/>
                  <w:u w:val="single"/>
                </w:rPr>
                <w:t>ondensed C</w:t>
              </w:r>
            </w:hyperlink>
            <w:hyperlink w:anchor="i24865d3b727f456a8b9254cfdd373825_22">
              <w:r>
                <w:rPr>
                  <w:rStyle w:val="InternetLink"/>
                  <w:rFonts w:ascii="Times New Roman;serif" w:hAnsi="Times New Roman;serif"/>
                  <w:b w:val="false"/>
                  <w:color w:val="000080"/>
                  <w:sz w:val="20"/>
                  <w:u w:val="single"/>
                </w:rPr>
                <w:t xml:space="preserve">onsolidated Statements of Operations for the </w:t>
              </w:r>
            </w:hyperlink>
            <w:hyperlink w:anchor="i24865d3b727f456a8b9254cfdd373825_22">
              <w:r>
                <w:rPr>
                  <w:rStyle w:val="InternetLink"/>
                  <w:rFonts w:ascii="Times New Roman;serif" w:hAnsi="Times New Roman;serif"/>
                  <w:b w:val="false"/>
                  <w:color w:val="000080"/>
                  <w:sz w:val="20"/>
                  <w:u w:val="single"/>
                </w:rPr>
                <w:t>Three</w:t>
              </w:r>
            </w:hyperlink>
            <w:hyperlink w:anchor="i24865d3b727f456a8b9254cfdd373825_22">
              <w:r>
                <w:rPr>
                  <w:rStyle w:val="InternetLink"/>
                  <w:rFonts w:ascii="Times New Roman;serif" w:hAnsi="Times New Roman;serif"/>
                  <w:b w:val="false"/>
                  <w:color w:val="000080"/>
                  <w:sz w:val="20"/>
                  <w:u w:val="single"/>
                </w:rPr>
                <w:t xml:space="preserve"> Months Ended </w:t>
              </w:r>
            </w:hyperlink>
            <w:hyperlink w:anchor="i24865d3b727f456a8b9254cfdd373825_22">
              <w:r>
                <w:rPr>
                  <w:rStyle w:val="InternetLink"/>
                  <w:rFonts w:ascii="Times New Roman;serif" w:hAnsi="Times New Roman;serif"/>
                  <w:b w:val="false"/>
                  <w:color w:val="000080"/>
                  <w:sz w:val="20"/>
                  <w:u w:val="single"/>
                </w:rPr>
                <w:t>March 31, 2026</w:t>
              </w:r>
            </w:hyperlink>
            <w:hyperlink w:anchor="i24865d3b727f456a8b9254cfdd373825_22">
              <w:r>
                <w:rPr>
                  <w:rStyle w:val="InternetLink"/>
                  <w:rFonts w:ascii="Times New Roman;serif" w:hAnsi="Times New Roman;serif"/>
                  <w:b w:val="false"/>
                  <w:color w:val="000080"/>
                  <w:sz w:val="20"/>
                  <w:u w:val="single"/>
                </w:rPr>
                <w:t xml:space="preserve"> and </w:t>
              </w:r>
            </w:hyperlink>
            <w:hyperlink w:anchor="i24865d3b727f456a8b9254cfdd373825_22">
              <w:r>
                <w:rPr>
                  <w:rStyle w:val="InternetLink"/>
                  <w:rFonts w:ascii="Times New Roman;serif" w:hAnsi="Times New Roman;serif"/>
                  <w:b w:val="false"/>
                  <w:color w:val="000080"/>
                  <w:sz w:val="20"/>
                  <w:u w:val="single"/>
                </w:rPr>
                <w:t>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22">
              <w:r>
                <w:rPr>
                  <w:rStyle w:val="InternetLink"/>
                  <w:rFonts w:ascii="Times New Roman;serif" w:hAnsi="Times New Roman;serif"/>
                  <w:b w:val="false"/>
                  <w:color w:val="0000FF"/>
                  <w:sz w:val="20"/>
                  <w:u w:val="single"/>
                </w:rPr>
                <w:t>3</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25">
              <w:r>
                <w:rPr>
                  <w:rStyle w:val="InternetLink"/>
                  <w:rFonts w:ascii="Times New Roman;serif" w:hAnsi="Times New Roman;serif"/>
                  <w:b w:val="false"/>
                  <w:color w:val="000080"/>
                  <w:sz w:val="20"/>
                  <w:u w:val="single"/>
                </w:rPr>
                <w:t>C</w:t>
              </w:r>
            </w:hyperlink>
            <w:hyperlink w:anchor="i24865d3b727f456a8b9254cfdd373825_25">
              <w:r>
                <w:rPr>
                  <w:rStyle w:val="InternetLink"/>
                  <w:rFonts w:ascii="Times New Roman;serif" w:hAnsi="Times New Roman;serif"/>
                  <w:b w:val="false"/>
                  <w:color w:val="000080"/>
                  <w:sz w:val="20"/>
                  <w:u w:val="single"/>
                </w:rPr>
                <w:t>ondensed C</w:t>
              </w:r>
            </w:hyperlink>
            <w:hyperlink w:anchor="i24865d3b727f456a8b9254cfdd373825_25">
              <w:r>
                <w:rPr>
                  <w:rStyle w:val="InternetLink"/>
                  <w:rFonts w:ascii="Times New Roman;serif" w:hAnsi="Times New Roman;serif"/>
                  <w:b w:val="false"/>
                  <w:color w:val="000080"/>
                  <w:sz w:val="20"/>
                  <w:u w:val="single"/>
                </w:rPr>
                <w:t xml:space="preserve">onsolidated Statements of Comprehensive Income (Loss) for the </w:t>
              </w:r>
            </w:hyperlink>
            <w:hyperlink w:anchor="i24865d3b727f456a8b9254cfdd373825_25">
              <w:r>
                <w:rPr>
                  <w:rStyle w:val="InternetLink"/>
                  <w:rFonts w:ascii="Times New Roman;serif" w:hAnsi="Times New Roman;serif"/>
                  <w:b w:val="false"/>
                  <w:color w:val="000080"/>
                  <w:sz w:val="20"/>
                  <w:u w:val="single"/>
                </w:rPr>
                <w:t>Three</w:t>
              </w:r>
            </w:hyperlink>
            <w:hyperlink w:anchor="i24865d3b727f456a8b9254cfdd373825_25">
              <w:r>
                <w:rPr>
                  <w:rStyle w:val="InternetLink"/>
                  <w:rFonts w:ascii="Times New Roman;serif" w:hAnsi="Times New Roman;serif"/>
                  <w:b w:val="false"/>
                  <w:color w:val="000080"/>
                  <w:sz w:val="20"/>
                  <w:u w:val="single"/>
                </w:rPr>
                <w:t xml:space="preserve"> Months Ended </w:t>
              </w:r>
            </w:hyperlink>
            <w:hyperlink w:anchor="i24865d3b727f456a8b9254cfdd373825_25">
              <w:r>
                <w:rPr>
                  <w:rStyle w:val="InternetLink"/>
                  <w:rFonts w:ascii="Times New Roman;serif" w:hAnsi="Times New Roman;serif"/>
                  <w:b w:val="false"/>
                  <w:color w:val="000080"/>
                  <w:sz w:val="20"/>
                  <w:u w:val="single"/>
                </w:rPr>
                <w:t>March 31, 2026</w:t>
              </w:r>
            </w:hyperlink>
            <w:hyperlink w:anchor="i24865d3b727f456a8b9254cfdd373825_25">
              <w:r>
                <w:rPr>
                  <w:rStyle w:val="InternetLink"/>
                  <w:rFonts w:ascii="Times New Roman;serif" w:hAnsi="Times New Roman;serif"/>
                  <w:b w:val="false"/>
                  <w:color w:val="000080"/>
                  <w:sz w:val="20"/>
                  <w:u w:val="single"/>
                </w:rPr>
                <w:t xml:space="preserve"> and </w:t>
              </w:r>
            </w:hyperlink>
            <w:hyperlink w:anchor="i24865d3b727f456a8b9254cfdd373825_25">
              <w:r>
                <w:rPr>
                  <w:rStyle w:val="InternetLink"/>
                  <w:rFonts w:ascii="Times New Roman;serif" w:hAnsi="Times New Roman;serif"/>
                  <w:b w:val="false"/>
                  <w:color w:val="000080"/>
                  <w:sz w:val="20"/>
                  <w:u w:val="single"/>
                </w:rPr>
                <w:t>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25">
              <w:r>
                <w:rPr>
                  <w:rStyle w:val="InternetLink"/>
                  <w:rFonts w:ascii="Times New Roman;serif" w:hAnsi="Times New Roman;serif"/>
                  <w:b w:val="false"/>
                  <w:color w:val="0000FF"/>
                  <w:sz w:val="20"/>
                  <w:u w:val="single"/>
                </w:rPr>
                <w:t>4</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28">
              <w:r>
                <w:rPr>
                  <w:rStyle w:val="InternetLink"/>
                  <w:rFonts w:ascii="Times New Roman;serif" w:hAnsi="Times New Roman;serif"/>
                  <w:b w:val="false"/>
                  <w:color w:val="000080"/>
                  <w:sz w:val="20"/>
                  <w:u w:val="single"/>
                </w:rPr>
                <w:t>C</w:t>
              </w:r>
            </w:hyperlink>
            <w:hyperlink w:anchor="i24865d3b727f456a8b9254cfdd373825_28">
              <w:r>
                <w:rPr>
                  <w:rStyle w:val="InternetLink"/>
                  <w:rFonts w:ascii="Times New Roman;serif" w:hAnsi="Times New Roman;serif"/>
                  <w:b w:val="false"/>
                  <w:color w:val="000080"/>
                  <w:sz w:val="20"/>
                  <w:u w:val="single"/>
                </w:rPr>
                <w:t>ondensed C</w:t>
              </w:r>
            </w:hyperlink>
            <w:hyperlink w:anchor="i24865d3b727f456a8b9254cfdd373825_28">
              <w:r>
                <w:rPr>
                  <w:rStyle w:val="InternetLink"/>
                  <w:rFonts w:ascii="Times New Roman;serif" w:hAnsi="Times New Roman;serif"/>
                  <w:b w:val="false"/>
                  <w:color w:val="000080"/>
                  <w:sz w:val="20"/>
                  <w:u w:val="single"/>
                </w:rPr>
                <w:t xml:space="preserve">onsolidated Statements of Changes in Stockholders' Deficit for the </w:t>
              </w:r>
            </w:hyperlink>
            <w:hyperlink w:anchor="i24865d3b727f456a8b9254cfdd373825_25">
              <w:r>
                <w:rPr>
                  <w:rStyle w:val="InternetLink"/>
                  <w:rFonts w:ascii="Times New Roman;serif" w:hAnsi="Times New Roman;serif"/>
                  <w:b w:val="false"/>
                  <w:color w:val="000080"/>
                  <w:sz w:val="20"/>
                  <w:u w:val="single"/>
                </w:rPr>
                <w:t>Three</w:t>
              </w:r>
            </w:hyperlink>
            <w:hyperlink w:anchor="i24865d3b727f456a8b9254cfdd373825_28">
              <w:r>
                <w:rPr>
                  <w:rStyle w:val="InternetLink"/>
                  <w:rFonts w:ascii="Times New Roman;serif" w:hAnsi="Times New Roman;serif"/>
                  <w:b w:val="false"/>
                  <w:color w:val="000080"/>
                  <w:sz w:val="20"/>
                  <w:u w:val="single"/>
                </w:rPr>
                <w:t xml:space="preserve"> Months Ended </w:t>
              </w:r>
            </w:hyperlink>
            <w:hyperlink w:anchor="i24865d3b727f456a8b9254cfdd373825_25">
              <w:r>
                <w:rPr>
                  <w:rStyle w:val="InternetLink"/>
                  <w:rFonts w:ascii="Times New Roman;serif" w:hAnsi="Times New Roman;serif"/>
                  <w:b w:val="false"/>
                  <w:color w:val="000080"/>
                  <w:sz w:val="20"/>
                  <w:u w:val="single"/>
                </w:rPr>
                <w:t>March 31, 2026</w:t>
              </w:r>
            </w:hyperlink>
            <w:hyperlink w:anchor="i24865d3b727f456a8b9254cfdd373825_28">
              <w:r>
                <w:rPr>
                  <w:rStyle w:val="InternetLink"/>
                  <w:rFonts w:ascii="Times New Roman;serif" w:hAnsi="Times New Roman;serif"/>
                  <w:b w:val="false"/>
                  <w:color w:val="000080"/>
                  <w:sz w:val="20"/>
                  <w:u w:val="single"/>
                </w:rPr>
                <w:t xml:space="preserve"> and </w:t>
              </w:r>
            </w:hyperlink>
            <w:hyperlink w:anchor="i24865d3b727f456a8b9254cfdd373825_25">
              <w:r>
                <w:rPr>
                  <w:rStyle w:val="InternetLink"/>
                  <w:rFonts w:ascii="Times New Roman;serif" w:hAnsi="Times New Roman;serif"/>
                  <w:b w:val="false"/>
                  <w:color w:val="000080"/>
                  <w:sz w:val="20"/>
                  <w:u w:val="single"/>
                </w:rPr>
                <w:t>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28">
              <w:r>
                <w:rPr>
                  <w:rStyle w:val="InternetLink"/>
                  <w:rFonts w:ascii="Times New Roman;serif" w:hAnsi="Times New Roman;serif"/>
                  <w:b w:val="false"/>
                  <w:color w:val="0000FF"/>
                  <w:sz w:val="20"/>
                  <w:u w:val="single"/>
                </w:rPr>
                <w:t>5</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31">
              <w:r>
                <w:rPr>
                  <w:rStyle w:val="InternetLink"/>
                  <w:rFonts w:ascii="Times New Roman;serif" w:hAnsi="Times New Roman;serif"/>
                  <w:b w:val="false"/>
                  <w:color w:val="000080"/>
                  <w:sz w:val="20"/>
                  <w:u w:val="single"/>
                </w:rPr>
                <w:t>C</w:t>
              </w:r>
            </w:hyperlink>
            <w:hyperlink w:anchor="i24865d3b727f456a8b9254cfdd373825_31">
              <w:r>
                <w:rPr>
                  <w:rStyle w:val="InternetLink"/>
                  <w:rFonts w:ascii="Times New Roman;serif" w:hAnsi="Times New Roman;serif"/>
                  <w:b w:val="false"/>
                  <w:color w:val="000080"/>
                  <w:sz w:val="20"/>
                  <w:u w:val="single"/>
                </w:rPr>
                <w:t>ondensed C</w:t>
              </w:r>
            </w:hyperlink>
            <w:hyperlink w:anchor="i24865d3b727f456a8b9254cfdd373825_31">
              <w:r>
                <w:rPr>
                  <w:rStyle w:val="InternetLink"/>
                  <w:rFonts w:ascii="Times New Roman;serif" w:hAnsi="Times New Roman;serif"/>
                  <w:b w:val="false"/>
                  <w:color w:val="000080"/>
                  <w:sz w:val="20"/>
                  <w:u w:val="single"/>
                </w:rPr>
                <w:t xml:space="preserve">onsolidated Statements of Cash Flows for the </w:t>
              </w:r>
            </w:hyperlink>
            <w:hyperlink w:anchor="i24865d3b727f456a8b9254cfdd373825_31">
              <w:r>
                <w:rPr>
                  <w:rStyle w:val="InternetLink"/>
                  <w:rFonts w:ascii="Times New Roman;serif" w:hAnsi="Times New Roman;serif"/>
                  <w:b w:val="false"/>
                  <w:color w:val="000080"/>
                  <w:sz w:val="20"/>
                  <w:u w:val="single"/>
                </w:rPr>
                <w:t>Three</w:t>
              </w:r>
            </w:hyperlink>
            <w:hyperlink w:anchor="i24865d3b727f456a8b9254cfdd373825_31">
              <w:r>
                <w:rPr>
                  <w:rStyle w:val="InternetLink"/>
                  <w:rFonts w:ascii="Times New Roman;serif" w:hAnsi="Times New Roman;serif"/>
                  <w:b w:val="false"/>
                  <w:color w:val="000080"/>
                  <w:sz w:val="20"/>
                  <w:u w:val="single"/>
                </w:rPr>
                <w:t xml:space="preserve"> Months Ended </w:t>
              </w:r>
            </w:hyperlink>
            <w:hyperlink w:anchor="i24865d3b727f456a8b9254cfdd373825_31">
              <w:r>
                <w:rPr>
                  <w:rStyle w:val="InternetLink"/>
                  <w:rFonts w:ascii="Times New Roman;serif" w:hAnsi="Times New Roman;serif"/>
                  <w:b w:val="false"/>
                  <w:color w:val="000080"/>
                  <w:sz w:val="20"/>
                  <w:u w:val="single"/>
                </w:rPr>
                <w:t>March 31, 2026</w:t>
              </w:r>
            </w:hyperlink>
            <w:hyperlink w:anchor="i24865d3b727f456a8b9254cfdd373825_31">
              <w:r>
                <w:rPr>
                  <w:rStyle w:val="InternetLink"/>
                  <w:rFonts w:ascii="Times New Roman;serif" w:hAnsi="Times New Roman;serif"/>
                  <w:b w:val="false"/>
                  <w:color w:val="000080"/>
                  <w:sz w:val="20"/>
                  <w:u w:val="single"/>
                </w:rPr>
                <w:t xml:space="preserve"> and </w:t>
              </w:r>
            </w:hyperlink>
            <w:hyperlink w:anchor="i24865d3b727f456a8b9254cfdd373825_31">
              <w:r>
                <w:rPr>
                  <w:rStyle w:val="InternetLink"/>
                  <w:rFonts w:ascii="Times New Roman;serif" w:hAnsi="Times New Roman;serif"/>
                  <w:b w:val="false"/>
                  <w:color w:val="000080"/>
                  <w:sz w:val="20"/>
                  <w:u w:val="single"/>
                </w:rPr>
                <w:t>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31">
              <w:r>
                <w:rPr>
                  <w:rStyle w:val="InternetLink"/>
                  <w:rFonts w:ascii="Times New Roman;serif" w:hAnsi="Times New Roman;serif"/>
                  <w:b w:val="false"/>
                  <w:color w:val="0000FF"/>
                  <w:sz w:val="20"/>
                  <w:u w:val="single"/>
                </w:rPr>
                <w:t>6</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34">
              <w:r>
                <w:rPr>
                  <w:rStyle w:val="InternetLink"/>
                  <w:rFonts w:ascii="Times New Roman;serif" w:hAnsi="Times New Roman;serif"/>
                  <w:b w:val="false"/>
                  <w:color w:val="000080"/>
                  <w:sz w:val="20"/>
                  <w:u w:val="single"/>
                </w:rPr>
                <w:t>Notes to C</w:t>
              </w:r>
            </w:hyperlink>
            <w:hyperlink w:anchor="i24865d3b727f456a8b9254cfdd373825_34">
              <w:r>
                <w:rPr>
                  <w:rStyle w:val="InternetLink"/>
                  <w:rFonts w:ascii="Times New Roman;serif" w:hAnsi="Times New Roman;serif"/>
                  <w:b w:val="false"/>
                  <w:color w:val="000080"/>
                  <w:sz w:val="20"/>
                  <w:u w:val="single"/>
                </w:rPr>
                <w:t>ondensed C</w:t>
              </w:r>
            </w:hyperlink>
            <w:hyperlink w:anchor="i24865d3b727f456a8b9254cfdd373825_34">
              <w:r>
                <w:rPr>
                  <w:rStyle w:val="InternetLink"/>
                  <w:rFonts w:ascii="Times New Roman;serif" w:hAnsi="Times New Roman;serif"/>
                  <w:b w:val="false"/>
                  <w:color w:val="000080"/>
                  <w:sz w:val="20"/>
                  <w:u w:val="single"/>
                </w:rPr>
                <w:t>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34">
              <w:r>
                <w:rPr>
                  <w:rStyle w:val="InternetLink"/>
                  <w:rFonts w:ascii="Times New Roman;serif" w:hAnsi="Times New Roman;serif"/>
                  <w:b w:val="false"/>
                  <w:color w:val="0000FF"/>
                  <w:sz w:val="20"/>
                  <w:u w:val="single"/>
                </w:rPr>
                <w:t>8</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76">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76">
              <w:r>
                <w:rPr>
                  <w:rStyle w:val="InternetLink"/>
                  <w:rFonts w:ascii="Times New Roman;serif" w:hAnsi="Times New Roman;serif"/>
                  <w:b w:val="false"/>
                  <w:color w:val="0000FF"/>
                  <w:sz w:val="20"/>
                  <w:u w:val="single"/>
                </w:rPr>
                <w:t>20</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00">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00">
              <w:r>
                <w:rPr>
                  <w:rStyle w:val="InternetLink"/>
                  <w:rFonts w:ascii="Times New Roman;serif" w:hAnsi="Times New Roman;serif"/>
                  <w:b w:val="false"/>
                  <w:color w:val="0000FF"/>
                  <w:sz w:val="20"/>
                  <w:u w:val="single"/>
                </w:rPr>
                <w:t>Quantitative and Qualitative Disclosure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100">
              <w:r>
                <w:rPr>
                  <w:rStyle w:val="InternetLink"/>
                  <w:rFonts w:ascii="Times New Roman;serif" w:hAnsi="Times New Roman;serif"/>
                  <w:b w:val="false"/>
                  <w:color w:val="0000FF"/>
                  <w:sz w:val="20"/>
                  <w:u w:val="single"/>
                </w:rPr>
                <w:t>32</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03">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03">
              <w:r>
                <w:rPr>
                  <w:rStyle w:val="InternetLink"/>
                  <w:rFonts w:ascii="Times New Roman;serif" w:hAnsi="Times New Roman;serif"/>
                  <w:b w:val="false"/>
                  <w:color w:val="0000FF"/>
                  <w:sz w:val="20"/>
                  <w:u w:val="single"/>
                </w:rPr>
                <w:t>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103">
              <w:r>
                <w:rPr>
                  <w:rStyle w:val="InternetLink"/>
                  <w:rFonts w:ascii="Times New Roman;serif" w:hAnsi="Times New Roman;serif"/>
                  <w:b w:val="false"/>
                  <w:color w:val="0000FF"/>
                  <w:sz w:val="20"/>
                  <w:u w:val="single"/>
                </w:rPr>
                <w:t>33</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4865d3b727f456a8b9254cfdd373825_106">
              <w:r>
                <w:rPr>
                  <w:rStyle w:val="InternetLink"/>
                  <w:rFonts w:ascii="Times New Roman;serif" w:hAnsi="Times New Roman;serif"/>
                  <w:b/>
                  <w:color w:val="0000FF"/>
                  <w:sz w:val="20"/>
                  <w:u w:val="single"/>
                </w:rPr>
                <w:t>Part II. Other Information</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09">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09">
              <w:r>
                <w:rPr>
                  <w:rStyle w:val="InternetLink"/>
                  <w:rFonts w:ascii="Times New Roman;serif" w:hAnsi="Times New Roman;serif"/>
                  <w:b w:val="false"/>
                  <w:color w:val="0000FF"/>
                  <w:sz w:val="20"/>
                  <w:u w:val="single"/>
                </w:rPr>
                <w:t>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109">
              <w:r>
                <w:rPr>
                  <w:rStyle w:val="InternetLink"/>
                  <w:rFonts w:ascii="Times New Roman;serif" w:hAnsi="Times New Roman;serif"/>
                  <w:b w:val="false"/>
                  <w:color w:val="0000FF"/>
                  <w:sz w:val="20"/>
                  <w:u w:val="single"/>
                </w:rPr>
                <w:t>34</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12">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12">
              <w:r>
                <w:rPr>
                  <w:rStyle w:val="InternetLink"/>
                  <w:rFonts w:ascii="Times New Roman;serif" w:hAnsi="Times New Roman;serif"/>
                  <w:b w:val="false"/>
                  <w:color w:val="0000FF"/>
                  <w:sz w:val="20"/>
                  <w:u w:val="single"/>
                </w:rPr>
                <w:t>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112">
              <w:r>
                <w:rPr>
                  <w:rStyle w:val="InternetLink"/>
                  <w:rFonts w:ascii="Times New Roman;serif" w:hAnsi="Times New Roman;serif"/>
                  <w:b w:val="false"/>
                  <w:color w:val="0000FF"/>
                  <w:sz w:val="20"/>
                  <w:u w:val="single"/>
                </w:rPr>
                <w:t>34</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15">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15">
              <w:r>
                <w:rPr>
                  <w:rStyle w:val="InternetLink"/>
                  <w:rFonts w:ascii="Times New Roman;serif" w:hAnsi="Times New Roman;serif"/>
                  <w:b w:val="false"/>
                  <w:color w:val="0000FF"/>
                  <w:sz w:val="20"/>
                  <w:u w:val="single"/>
                </w:rPr>
                <w:t>Unregistered Sales of Equity Securities and Use of Proceeds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115">
              <w:r>
                <w:rPr>
                  <w:rStyle w:val="InternetLink"/>
                  <w:rFonts w:ascii="Times New Roman;serif" w:hAnsi="Times New Roman;serif"/>
                  <w:b w:val="false"/>
                  <w:color w:val="0000FF"/>
                  <w:sz w:val="20"/>
                  <w:u w:val="single"/>
                </w:rPr>
                <w:t>34</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24">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24">
              <w:r>
                <w:rPr>
                  <w:rStyle w:val="InternetLink"/>
                  <w:rFonts w:ascii="Times New Roman;serif" w:hAnsi="Times New Roman;serif"/>
                  <w:b w:val="false"/>
                  <w:color w:val="0000FF"/>
                  <w:sz w:val="20"/>
                  <w:u w:val="single"/>
                </w:rPr>
                <w:t>Exhibits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124">
              <w:r>
                <w:rPr>
                  <w:rStyle w:val="InternetLink"/>
                  <w:rFonts w:ascii="Times New Roman;serif" w:hAnsi="Times New Roman;serif"/>
                  <w:b w:val="false"/>
                  <w:color w:val="0000FF"/>
                  <w:sz w:val="20"/>
                  <w:u w:val="single"/>
                </w:rPr>
                <w:t>35</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65d3b727f456a8b9254cfdd373825_127">
              <w:r>
                <w:rPr>
                  <w:rStyle w:val="InternetLink"/>
                  <w:rFonts w:ascii="Times New Roman;serif" w:hAnsi="Times New Roman;serif"/>
                  <w:b w:val="false"/>
                  <w:color w:val="0000FF"/>
                  <w:sz w:val="20"/>
                  <w:u w:val="single"/>
                </w:rPr>
                <w:t>Signatures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65d3b727f456a8b9254cfdd373825_127">
              <w:r>
                <w:rPr>
                  <w:rStyle w:val="InternetLink"/>
                  <w:rFonts w:ascii="Times New Roman;serif" w:hAnsi="Times New Roman;serif"/>
                  <w:b w:val="false"/>
                  <w:color w:val="0000FF"/>
                  <w:sz w:val="20"/>
                  <w:u w:val="single"/>
                </w:rPr>
                <w:t>S-1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SPECIAL NOTE REGARDING FORWARD-LOOKING STATEMENTS</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Certain statements in this Quarterly Report on Form 10-Q are “forward-looking statements” within the meaning of Section 21E of the Securities Exchange Act of 1934, as amended, and are subject to the safe harbor created thereby. All statements contained in this Quarterly Report on Form 10-Q other than statements of historical facts, including statements regarding our future results of operations and financial position, our business strategy and plans and our objectives for future operations, are forward-looking statements. The words “anticipate,” “believe,” “continue,” “could,” “estimate,” “expect,” “intend,” “likely,” “may,” “plan,” “potential,” “predict,” “will”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of our Annual Report on Form 10-K for the year ended December 31, 2025, in “Item 1A. Risk Factors” in Part II of this Quarterly Report on Form 10-Q and in any subsequent filing we make with the Securities and Exchange Commission ("SEC"), as well as in any documents incorporated by reference that describe risks and factors that could cause results to differ materially from those projected in these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Quarterly Report on Form 10-Q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91"/>
        <w:gridCol w:w="2014"/>
        <w:gridCol w:w="1982"/>
        <w:gridCol w:w="262"/>
        <w:gridCol w:w="1213"/>
        <w:gridCol w:w="135"/>
        <w:gridCol w:w="133"/>
        <w:gridCol w:w="133"/>
        <w:gridCol w:w="133"/>
        <w:gridCol w:w="283"/>
        <w:gridCol w:w="1313"/>
        <w:gridCol w:w="213"/>
      </w:tblGrid>
      <w:tr>
        <w:trPr/>
        <w:tc>
          <w:tcPr>
            <w:tcW w:w="23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6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6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338,769 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 of $920 and $1,043 at March 31, 2026 and December 31, 2025, respectively</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1,162,385 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non-current</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1,425,378 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20"/>
        <w:gridCol w:w="2130"/>
        <w:gridCol w:w="2134"/>
        <w:gridCol w:w="244"/>
        <w:gridCol w:w="1130"/>
        <w:gridCol w:w="126"/>
        <w:gridCol w:w="125"/>
        <w:gridCol w:w="125"/>
        <w:gridCol w:w="125"/>
        <w:gridCol w:w="258"/>
        <w:gridCol w:w="1195"/>
        <w:gridCol w:w="193"/>
      </w:tblGrid>
      <w:tr>
        <w:trPr/>
        <w:tc>
          <w:tcPr>
            <w:tcW w:w="242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6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6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547,919 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686,054 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741,652 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1,437,993 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1,499,007 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 1,000,000,000 shares authorized, 52,798,288 and 52,712,836 shares issued and outstanding at March 31, 2026 and December 31, 2025, respectively</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per share, 500,000,000 shares authorized, 3,569,583 and 3,607,583 shares issued and outstanding at March 31, 2026 and December 31, 2025, respectively</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per share, 100,000,000 shares authorized, no shares issued and outstanding</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erif" w:hAnsi="Times New Roman;serif"/>
          <w:b w:val="false"/>
          <w:i/>
          <w:color w:val="000000"/>
          <w:sz w:val="22"/>
        </w:rPr>
        <w:t>See accompanying notes.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tbl>
      <w:tblPr>
        <w:tblW w:w="9690" w:type="dxa"/>
        <w:jc w:val="center"/>
        <w:tblInd w:w="0" w:type="dxa"/>
        <w:tblLayout w:type="fixed"/>
        <w:tblCellMar>
          <w:top w:w="28" w:type="dxa"/>
          <w:left w:w="28" w:type="dxa"/>
          <w:bottom w:w="28" w:type="dxa"/>
          <w:right w:w="28" w:type="dxa"/>
        </w:tblCellMar>
      </w:tblPr>
      <w:tblGrid>
        <w:gridCol w:w="1428"/>
        <w:gridCol w:w="1260"/>
        <w:gridCol w:w="1271"/>
        <w:gridCol w:w="423"/>
        <w:gridCol w:w="1657"/>
        <w:gridCol w:w="218"/>
        <w:gridCol w:w="218"/>
        <w:gridCol w:w="218"/>
        <w:gridCol w:w="218"/>
        <w:gridCol w:w="423"/>
        <w:gridCol w:w="1657"/>
        <w:gridCol w:w="218"/>
        <w:gridCol w:w="109"/>
        <w:gridCol w:w="10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09"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481" w:type="dxa"/>
            <w:gridSpan w:val="4"/>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225,355 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185,512 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247,306 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198,761 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157,938 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183,440 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182,688 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2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2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2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56,885,568 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56,157,533 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0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58,441,679 </w:t>
            </w:r>
          </w:p>
        </w:tc>
        <w:tc>
          <w:tcPr>
            <w:tcW w:w="2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56,157,533 </w:t>
            </w:r>
          </w:p>
        </w:tc>
        <w:tc>
          <w:tcPr>
            <w:tcW w:w="2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pStyle w:val="TextBody"/>
        <w:bidi w:val="0"/>
        <w:spacing w:lineRule="auto" w:line="288" w:before="100" w:after="100"/>
        <w:jc w:val="left"/>
        <w:rPr/>
      </w:pPr>
      <w:r>
        <w:rPr>
          <w:rFonts w:ascii="Times New Roman;serif" w:hAnsi="Times New Roman;serif"/>
          <w:b w:val="false"/>
          <w:i/>
          <w:color w:val="000000"/>
          <w:sz w:val="22"/>
        </w:rPr>
        <w:t>See accompanying notes.</w:t>
      </w:r>
      <w:r>
        <w:rPr>
          <w:color w:val="000000"/>
        </w:rPr>
        <w:t xml:space="preserve">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409"/>
        <w:gridCol w:w="1202"/>
        <w:gridCol w:w="1163"/>
        <w:gridCol w:w="506"/>
        <w:gridCol w:w="1731"/>
        <w:gridCol w:w="261"/>
        <w:gridCol w:w="261"/>
        <w:gridCol w:w="261"/>
        <w:gridCol w:w="261"/>
        <w:gridCol w:w="506"/>
        <w:gridCol w:w="1897"/>
        <w:gridCol w:w="261"/>
        <w:gridCol w:w="109"/>
        <w:gridCol w:w="109"/>
        <w:gridCol w:w="109"/>
        <w:gridCol w:w="159"/>
      </w:tblGrid>
      <w:tr>
        <w:trPr/>
        <w:tc>
          <w:tcPr>
            <w:tcW w:w="14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486" w:type="dxa"/>
            <w:gridSpan w:val="4"/>
            <w:tcBorders/>
          </w:tcPr>
          <w:p>
            <w:pPr>
              <w:pStyle w:val="TableContents"/>
              <w:bidi w:val="0"/>
              <w:spacing w:before="0" w:after="283"/>
              <w:jc w:val="left"/>
              <w:rPr>
                <w:sz w:val="4"/>
                <w:szCs w:val="4"/>
              </w:rPr>
            </w:pPr>
            <w:r>
              <w:rPr>
                <w:sz w:val="4"/>
                <w:szCs w:val="4"/>
              </w:rPr>
            </w:r>
          </w:p>
        </w:tc>
      </w:tr>
      <w:tr>
        <w:trPr/>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2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securities</w:t>
            </w:r>
          </w:p>
        </w:tc>
        <w:tc>
          <w:tcPr>
            <w:tcW w:w="2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2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(17,065)</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1"/>
        <w:gridCol w:w="464"/>
        <w:gridCol w:w="466"/>
        <w:gridCol w:w="323"/>
        <w:gridCol w:w="323"/>
        <w:gridCol w:w="186"/>
        <w:gridCol w:w="120"/>
        <w:gridCol w:w="120"/>
        <w:gridCol w:w="120"/>
        <w:gridCol w:w="264"/>
        <w:gridCol w:w="365"/>
        <w:gridCol w:w="120"/>
        <w:gridCol w:w="111"/>
        <w:gridCol w:w="111"/>
        <w:gridCol w:w="111"/>
        <w:gridCol w:w="252"/>
        <w:gridCol w:w="948"/>
        <w:gridCol w:w="129"/>
        <w:gridCol w:w="111"/>
        <w:gridCol w:w="111"/>
        <w:gridCol w:w="111"/>
        <w:gridCol w:w="327"/>
        <w:gridCol w:w="954"/>
        <w:gridCol w:w="183"/>
        <w:gridCol w:w="111"/>
        <w:gridCol w:w="111"/>
        <w:gridCol w:w="111"/>
        <w:gridCol w:w="205"/>
        <w:gridCol w:w="799"/>
        <w:gridCol w:w="114"/>
        <w:gridCol w:w="111"/>
        <w:gridCol w:w="111"/>
        <w:gridCol w:w="111"/>
        <w:gridCol w:w="252"/>
        <w:gridCol w:w="819"/>
        <w:gridCol w:w="189"/>
      </w:tblGrid>
      <w:tr>
        <w:trPr/>
        <w:tc>
          <w:tcPr>
            <w:tcW w:w="8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br/>
              <w:t>(unaudited)</w:t>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56,320 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(733,852)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(5,436)</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56,368 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699,649 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(714,856)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(12,615)</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672,363 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(707,683)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655,377 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(729,054)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(75,735)</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63"/>
        <w:gridCol w:w="1716"/>
        <w:gridCol w:w="1728"/>
        <w:gridCol w:w="359"/>
        <w:gridCol w:w="1229"/>
        <w:gridCol w:w="185"/>
        <w:gridCol w:w="185"/>
        <w:gridCol w:w="185"/>
        <w:gridCol w:w="185"/>
        <w:gridCol w:w="359"/>
        <w:gridCol w:w="1336"/>
        <w:gridCol w:w="185"/>
        <w:gridCol w:w="109"/>
        <w:gridCol w:w="109"/>
        <w:gridCol w:w="109"/>
        <w:gridCol w:w="163"/>
      </w:tblGrid>
      <w:tr>
        <w:trPr/>
        <w:tc>
          <w:tcPr>
            <w:tcW w:w="2063"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br/>
              <w:t>(unaudited)</w:t>
            </w:r>
          </w:p>
        </w:tc>
        <w:tc>
          <w:tcPr>
            <w:tcW w:w="490" w:type="dxa"/>
            <w:gridSpan w:val="4"/>
            <w:tcBorders/>
          </w:tcPr>
          <w:p>
            <w:pPr>
              <w:pStyle w:val="TableContents"/>
              <w:bidi w:val="0"/>
              <w:spacing w:before="0" w:after="283"/>
              <w:jc w:val="left"/>
              <w:rPr>
                <w:sz w:val="4"/>
                <w:szCs w:val="4"/>
              </w:rPr>
            </w:pPr>
            <w:r>
              <w:rPr>
                <w:sz w:val="4"/>
                <w:szCs w:val="4"/>
              </w:rPr>
            </w:r>
          </w:p>
        </w:tc>
      </w:tr>
      <w:tr>
        <w:trPr/>
        <w:tc>
          <w:tcPr>
            <w:tcW w:w="5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5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provision for doubtful accounts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premiums and discounts on marketable securities, net</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marketable securities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58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21,345 </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86"/>
        <w:gridCol w:w="1636"/>
        <w:gridCol w:w="1647"/>
        <w:gridCol w:w="350"/>
        <w:gridCol w:w="1373"/>
        <w:gridCol w:w="181"/>
        <w:gridCol w:w="181"/>
        <w:gridCol w:w="181"/>
        <w:gridCol w:w="181"/>
        <w:gridCol w:w="350"/>
        <w:gridCol w:w="1373"/>
        <w:gridCol w:w="181"/>
        <w:gridCol w:w="109"/>
        <w:gridCol w:w="109"/>
        <w:gridCol w:w="109"/>
        <w:gridCol w:w="158"/>
      </w:tblGrid>
      <w:tr>
        <w:trPr/>
        <w:tc>
          <w:tcPr>
            <w:tcW w:w="208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tc>
        <w:tc>
          <w:tcPr>
            <w:tcW w:w="485" w:type="dxa"/>
            <w:gridSpan w:val="4"/>
            <w:tcBorders/>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br/>
              <w:t>(unaudited)</w:t>
            </w:r>
          </w:p>
        </w:tc>
        <w:tc>
          <w:tcPr>
            <w:tcW w:w="485" w:type="dxa"/>
            <w:gridSpan w:val="4"/>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option exercises</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settlements of stock-based compensation awards</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in connection with employee stock purchase plan</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w:t>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accrued but not paid</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consolidated balance sheets</w:t>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prepaid expenses and other at end of period</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at end of period shown in the consolidated statements of cash flows</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242,736 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1. Organization and Significant Accounting Policies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Organization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 Inc., a Delaware corporation, and its wholly-owned subsidiaries (the “Company” or “we” or “us”), is a leading, AI-powered platform for trust, transparency, and accountability. Accounting, finance, sustainability, risk, and audit teams worldwide rely on Workiva for their mission-critical work. We transform how customers connect data, unify processes, and empower teams in a secure, AI-powered, audit-ready, collaborative platform. Our operational headquarters are located in Ames, Iowa. We also lease office facilities or contract with flexible workspace providers throughout the United States ("U.S."). and internationally.</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Basis of Presentation and Principles of Consolidation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financial information presented in the accompanying unaudited condensed consolidated financial statements has been prepared in accordance with U.S. generally accepted accounting principles (“U.S. GAAP”) and in accordance with rules and regulations of the U.S. Securities and Exchange Commission (“SEC”) regarding interim financial reporting. The condensed consolidated balance sheet data as of December 31, 2025 was derived from audited financial statements, but does not include all disclosures required by U.S. GAAP. In the opinion of management, the accompanying unaudited condensed consolidated financial statements reflect all adjustments, consisting primarily of normal recurring accruals, necessary for a fair presentation of our financial position and results of operations. The operating results for the three months ended March 31, 2026 are not necessarily indicative of the results expected for the full year ending December 31, 2026.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Seasonality affects our revenue and cash flows from operations. Revenue from professional services is generally higher in the first quarter of our calendar year as many of our customers file their Form 10-K in the first calendar quarter. Our operating cash flow may be affected by the timing of employee cash bonus payments during the first and fourth calendar quarters and by the timing of payouts under our commission plans in the first quarter. The condensed consolidated financial information should be read in conjunction with “Management’s Discussion and Analysis of Financial Condition and Results of Operations” contained in this report and the consolidated financial statements and notes included in the Company’s Annual Report on Form 10-K for the fiscal year ended December 31, 2025 filed with the SEC on February 19, 2026.</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unaudited condensed consolidated financial statements include the accounts of Workiva Inc. and its wholly-owned subsidiaries. All intercompany accounts and transactions have been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 xml:space="preserve">Use of Estimates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preparation of consolidated financial statements in conformity with accounting principles generally accepted in the United States requires us to make estimates and assumptions that affect the amounts reported in the consolidated financial statements and accompanying notes. We base our estimates on historical experience and various other assumptions believed to be reasonable. These estimates include, but are not limited to, the allowance for doubtful accounts, the determination of the relative selling prices of our services, the measurement of material rights, health insurance claims incurred but not yet reported, valuation of available-for-sale marketable securities, useful lives of deferred contract costs, intangible assets and property and equipment, goodwill, income taxes, discount rates used in the valuation of right-of-use assets and lease liabilities, and certain assumptions used in the valuation of equity awards. While these estimates are based on our best knowledge of current events and actions that may affect us in the future, actual results may differ materially from these estimates.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Recently Adopted Accounting Pronouncements</w:t>
      </w:r>
    </w:p>
    <w:p>
      <w:pPr>
        <w:pStyle w:val="TextBody"/>
        <w:bidi w:val="0"/>
        <w:spacing w:lineRule="auto" w:line="276" w:before="120" w:after="120"/>
        <w:ind w:left="0" w:right="0" w:firstLine="720"/>
        <w:jc w:val="both"/>
        <w:rPr/>
      </w:pPr>
      <w:r>
        <w:rPr>
          <w:rFonts w:ascii="Times New Roman;serif" w:hAnsi="Times New Roman;serif"/>
          <w:b w:val="false"/>
          <w:color w:val="000000"/>
          <w:sz w:val="22"/>
        </w:rPr>
        <w:t>In November 2024, the FASB issued ASU 2024-04,</w:t>
      </w:r>
      <w:r>
        <w:rPr>
          <w:color w:val="000000"/>
        </w:rPr>
        <w:t xml:space="preserve"> </w:t>
      </w:r>
      <w:r>
        <w:rPr>
          <w:rFonts w:ascii="Times New Roman;serif" w:hAnsi="Times New Roman;serif"/>
          <w:b w:val="false"/>
          <w:i/>
          <w:color w:val="000000"/>
          <w:sz w:val="22"/>
        </w:rPr>
        <w:t>Induced Conversions of Convertible Debt Instruments,</w:t>
      </w:r>
      <w:r>
        <w:rPr>
          <w:color w:val="000000"/>
        </w:rPr>
        <w:t xml:space="preserve"> </w:t>
      </w:r>
      <w:r>
        <w:rPr>
          <w:rFonts w:ascii="Times New Roman;serif" w:hAnsi="Times New Roman;serif"/>
          <w:b w:val="false"/>
          <w:color w:val="000000"/>
          <w:sz w:val="22"/>
        </w:rPr>
        <w:t>which amends the guidance in ASC 470-20 for induced conversions of convertible debt instruments. The update clarifies the accounting treatment for debt conversion wherein inducement offers are made, regardless of whether the settlement is in equity, cash, or a combination of both. Previously, induced conversions were limited to equity settlements. The amendments in this update are effective for annual reporting periods beginning after December 15, 2025. We adopted this standard for the annual period beginning on January 1, 2026. The adoption did not have a material impact on our consolidated financial statements and related disclosures.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New Accounting Pronouncements Not Yet Adopted</w:t>
      </w:r>
    </w:p>
    <w:p>
      <w:pPr>
        <w:pStyle w:val="TextBody"/>
        <w:bidi w:val="0"/>
        <w:spacing w:lineRule="auto" w:line="276" w:before="120" w:after="120"/>
        <w:ind w:left="0" w:right="0" w:firstLine="720"/>
        <w:jc w:val="both"/>
        <w:rPr/>
      </w:pPr>
      <w:r>
        <w:rPr>
          <w:rFonts w:ascii="Times New Roman;serif" w:hAnsi="Times New Roman;serif"/>
          <w:b w:val="false"/>
          <w:color w:val="000000"/>
          <w:sz w:val="22"/>
        </w:rPr>
        <w:t>In November 2024, the FASB issued ASU 2024-03,</w:t>
      </w:r>
      <w:r>
        <w:rPr>
          <w:color w:val="000000"/>
        </w:rPr>
        <w:t xml:space="preserve"> </w:t>
      </w:r>
      <w:r>
        <w:rPr>
          <w:rFonts w:ascii="Times New Roman;serif" w:hAnsi="Times New Roman;serif"/>
          <w:b w:val="false"/>
          <w:i/>
          <w:color w:val="000000"/>
          <w:sz w:val="22"/>
        </w:rPr>
        <w:t>Income Statement - Reporting Comprehensive and Income - Expense Disaggregation Disclosures (Subtopic 220-40),</w:t>
      </w:r>
      <w:r>
        <w:rPr>
          <w:color w:val="000000"/>
        </w:rPr>
        <w:t xml:space="preserve"> </w:t>
      </w:r>
      <w:r>
        <w:rPr>
          <w:rFonts w:ascii="Times New Roman;serif" w:hAnsi="Times New Roman;serif"/>
          <w:b w:val="false"/>
          <w:color w:val="000000"/>
          <w:sz w:val="22"/>
        </w:rPr>
        <w:t>requiring public business entities (PBEs) to provide disaggregated disclosures of relevant income statement expenses. The amendments aim to improve financial reporting by enhancing transparency in the notes to financial statements, specifically regarding expense categories. The amendments in this update are effective for annual reporting periods beginning after December 15, 2026, and interim reporting periods beginning after December 15, 2027. We are assessing the effect of this update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2. Supplemental Consolidated Balance Sheet Information</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Accrued Expenses and Other Current Liabilities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 consisted of the following (in thousands):</w:t>
      </w:r>
    </w:p>
    <w:tbl>
      <w:tblPr>
        <w:tblW w:w="7347" w:type="dxa"/>
        <w:jc w:val="left"/>
        <w:tblInd w:w="0" w:type="dxa"/>
        <w:tblLayout w:type="fixed"/>
        <w:tblCellMar>
          <w:top w:w="28" w:type="dxa"/>
          <w:left w:w="28" w:type="dxa"/>
          <w:bottom w:w="28" w:type="dxa"/>
          <w:right w:w="28" w:type="dxa"/>
        </w:tblCellMar>
      </w:tblPr>
      <w:tblGrid>
        <w:gridCol w:w="1043"/>
        <w:gridCol w:w="917"/>
        <w:gridCol w:w="920"/>
        <w:gridCol w:w="386"/>
        <w:gridCol w:w="1320"/>
        <w:gridCol w:w="199"/>
        <w:gridCol w:w="109"/>
        <w:gridCol w:w="109"/>
        <w:gridCol w:w="109"/>
        <w:gridCol w:w="396"/>
        <w:gridCol w:w="1550"/>
        <w:gridCol w:w="289"/>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employee contributions</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health insurance claims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liabilities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3. Cash Equivalents and Marketable Securities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March 31, 2026,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2"/>
        <w:gridCol w:w="925"/>
        <w:gridCol w:w="253"/>
        <w:gridCol w:w="994"/>
        <w:gridCol w:w="130"/>
        <w:gridCol w:w="109"/>
        <w:gridCol w:w="109"/>
        <w:gridCol w:w="109"/>
        <w:gridCol w:w="398"/>
        <w:gridCol w:w="881"/>
        <w:gridCol w:w="206"/>
        <w:gridCol w:w="109"/>
        <w:gridCol w:w="109"/>
        <w:gridCol w:w="109"/>
        <w:gridCol w:w="403"/>
        <w:gridCol w:w="923"/>
        <w:gridCol w:w="210"/>
        <w:gridCol w:w="109"/>
        <w:gridCol w:w="109"/>
        <w:gridCol w:w="109"/>
        <w:gridCol w:w="329"/>
        <w:gridCol w:w="1293"/>
        <w:gridCol w:w="249"/>
      </w:tblGrid>
      <w:tr>
        <w:trPr/>
        <w:tc>
          <w:tcPr>
            <w:tcW w:w="11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251,611 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740,791 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211,675 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211,675 </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529,639 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529,116 </w:t>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2"/>
        <w:gridCol w:w="925"/>
        <w:gridCol w:w="253"/>
        <w:gridCol w:w="994"/>
        <w:gridCol w:w="130"/>
        <w:gridCol w:w="109"/>
        <w:gridCol w:w="109"/>
        <w:gridCol w:w="109"/>
        <w:gridCol w:w="334"/>
        <w:gridCol w:w="977"/>
        <w:gridCol w:w="174"/>
        <w:gridCol w:w="109"/>
        <w:gridCol w:w="109"/>
        <w:gridCol w:w="109"/>
        <w:gridCol w:w="446"/>
        <w:gridCol w:w="859"/>
        <w:gridCol w:w="231"/>
        <w:gridCol w:w="109"/>
        <w:gridCol w:w="109"/>
        <w:gridCol w:w="109"/>
        <w:gridCol w:w="329"/>
        <w:gridCol w:w="1293"/>
        <w:gridCol w:w="249"/>
      </w:tblGrid>
      <w:tr>
        <w:trPr/>
        <w:tc>
          <w:tcPr>
            <w:tcW w:w="11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768,752 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769,918 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217,063 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217,066 </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551,689 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7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contractual maturities of the investments classified as marketable securities are as follows (in thousands):</w:t>
      </w:r>
    </w:p>
    <w:tbl>
      <w:tblPr>
        <w:tblW w:w="4094" w:type="dxa"/>
        <w:jc w:val="left"/>
        <w:tblInd w:w="0" w:type="dxa"/>
        <w:tblLayout w:type="fixed"/>
        <w:tblCellMar>
          <w:top w:w="28" w:type="dxa"/>
          <w:left w:w="28" w:type="dxa"/>
          <w:bottom w:w="28" w:type="dxa"/>
          <w:right w:w="28" w:type="dxa"/>
        </w:tblCellMar>
      </w:tblPr>
      <w:tblGrid>
        <w:gridCol w:w="777"/>
        <w:gridCol w:w="681"/>
        <w:gridCol w:w="686"/>
        <w:gridCol w:w="345"/>
        <w:gridCol w:w="1353"/>
        <w:gridCol w:w="252"/>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304,425 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two years</w:t>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214,878 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three to five years</w:t>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529,116 </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gross unrealized losses and fair values for those cash equivalents and marketable securities that were in an unrealized loss position as of March 31, 2026, aggregated by investment category and the length of time that individual securities have been in a continuous loss position (in thousands):</w:t>
      </w:r>
    </w:p>
    <w:tbl>
      <w:tblPr>
        <w:tblW w:w="9446" w:type="dxa"/>
        <w:jc w:val="left"/>
        <w:tblInd w:w="0" w:type="dxa"/>
        <w:tblLayout w:type="fixed"/>
        <w:tblCellMar>
          <w:top w:w="28" w:type="dxa"/>
          <w:left w:w="28" w:type="dxa"/>
          <w:bottom w:w="28" w:type="dxa"/>
          <w:right w:w="28" w:type="dxa"/>
        </w:tblCellMar>
      </w:tblPr>
      <w:tblGrid>
        <w:gridCol w:w="1201"/>
        <w:gridCol w:w="1055"/>
        <w:gridCol w:w="1059"/>
        <w:gridCol w:w="211"/>
        <w:gridCol w:w="826"/>
        <w:gridCol w:w="109"/>
        <w:gridCol w:w="109"/>
        <w:gridCol w:w="109"/>
        <w:gridCol w:w="109"/>
        <w:gridCol w:w="386"/>
        <w:gridCol w:w="883"/>
        <w:gridCol w:w="201"/>
        <w:gridCol w:w="109"/>
        <w:gridCol w:w="109"/>
        <w:gridCol w:w="109"/>
        <w:gridCol w:w="230"/>
        <w:gridCol w:w="671"/>
        <w:gridCol w:w="118"/>
        <w:gridCol w:w="109"/>
        <w:gridCol w:w="109"/>
        <w:gridCol w:w="109"/>
        <w:gridCol w:w="502"/>
        <w:gridCol w:w="645"/>
        <w:gridCol w:w="368"/>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 months or greater</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do not believe the unrealized losses represent credit losses based on our evaluation of available evidence as of March 31, 2026, which includes an assessment of whether it is more likely than not we will be required to sell the investment before recovery of the investment's amortized cost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erif" w:hAnsi="Times New Roman;serif"/>
          <w:b/>
          <w:color w:val="000000"/>
          <w:sz w:val="22"/>
        </w:rPr>
        <w:t>4.</w:t>
      </w:r>
      <w:r>
        <w:rPr>
          <w:color w:val="000000"/>
        </w:rPr>
        <w:t xml:space="preserve"> </w:t>
      </w:r>
      <w:r>
        <w:rPr>
          <w:rFonts w:ascii="Times New Roman;serif" w:hAnsi="Times New Roman;serif"/>
          <w:b/>
          <w:color w:val="000000"/>
          <w:sz w:val="22"/>
        </w:rPr>
        <w:t xml:space="preserve">Fair Value Measurements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determine the fair values of our financial instruments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 </w:t>
      </w:r>
    </w:p>
    <w:p>
      <w:pPr>
        <w:pStyle w:val="TextBody"/>
        <w:bidi w:val="0"/>
        <w:spacing w:lineRule="auto" w:line="288" w:before="120" w:after="120"/>
        <w:ind w:left="0" w:right="0" w:hanging="1080"/>
        <w:jc w:val="both"/>
        <w:rPr>
          <w:rFonts w:ascii="Times New Roman;serif" w:hAnsi="Times New Roman;serif"/>
          <w:b w:val="false"/>
          <w:color w:val="000000"/>
          <w:sz w:val="22"/>
        </w:rPr>
      </w:pPr>
      <w:r>
        <w:rPr>
          <w:rFonts w:ascii="Times New Roman;serif" w:hAnsi="Times New Roman;serif"/>
          <w:b w:val="false"/>
          <w:color w:val="000000"/>
          <w:sz w:val="22"/>
        </w:rPr>
        <w:t xml:space="preserve">Level 1 - Inputs are unadjusted quoted prices in active markets for identical assets or liabilities.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2 - Inputs are quoted prices for similar assets and liabilities in active markets or inputs that are observable for the asset or liability, either directly or indirectly through market corroboration, for substantially the full term of the financial instrument.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3 - Inputs are unobservable inputs based on our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Financial Assets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Cash equivalents primarily consist of AAA-rated money market funds with overnight liquidity and no stated maturities. We classified cash equivalents as Level 1 due to the short-term nature of these instruments and measured the fair value based on quoted prices in active markets for identical assets.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 available, our marketable securities are valued using quoted prices for identical instruments in active markets. If we are unable to value our marketable securities using quoted prices for identical instruments in active markets, we value our investments using broker reports that utilize quoted market prices for comparable instruments. We validate, on a sample basis, the derived prices provided by the brokers by comparing their assessment of the fair values of our investments against the fair values of the portfolio balances of another third-party professional pricing service. As of March 31, 2026, all of our marketable securities were valued using quoted prices for comparable instruments in active markets and are classified as Level 2.</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our valuation of our money market funds and marketable securities, we concluded that they are classified in either Level 1 or Level 2, and we have no financial assets measured using Level 3 inputs on a recurring basis. The following table presents information about our assets that are measured at fair value on a recurring basis using the above input categories (in thousands):</w:t>
      </w:r>
    </w:p>
    <w:tbl>
      <w:tblPr>
        <w:tblW w:w="10205" w:type="dxa"/>
        <w:jc w:val="left"/>
        <w:tblInd w:w="0" w:type="dxa"/>
        <w:tblLayout w:type="fixed"/>
        <w:tblCellMar>
          <w:top w:w="28" w:type="dxa"/>
          <w:left w:w="28" w:type="dxa"/>
          <w:bottom w:w="28" w:type="dxa"/>
          <w:right w:w="28" w:type="dxa"/>
        </w:tblCellMar>
      </w:tblPr>
      <w:tblGrid>
        <w:gridCol w:w="478"/>
        <w:gridCol w:w="408"/>
        <w:gridCol w:w="4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2"/>
        <w:gridCol w:w="831"/>
        <w:gridCol w:w="109"/>
        <w:gridCol w:w="109"/>
        <w:gridCol w:w="109"/>
        <w:gridCol w:w="109"/>
        <w:gridCol w:w="212"/>
        <w:gridCol w:w="831"/>
        <w:gridCol w:w="109"/>
        <w:gridCol w:w="109"/>
        <w:gridCol w:w="109"/>
        <w:gridCol w:w="109"/>
        <w:gridCol w:w="212"/>
        <w:gridCol w:w="831"/>
        <w:gridCol w:w="163"/>
      </w:tblGrid>
      <w:tr>
        <w:trPr/>
        <w:tc>
          <w:tcPr>
            <w:tcW w:w="4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December 31, 2025</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r>
      <w:tr>
        <w:trPr/>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March 31, 2026, the fair value of our convertible senior notes due in 2026 and 2028 was $67.2 million and $654.9 million, respectively. The fair value was determined based on the quoted price of the convertible senior notes in an over-the-counter market on the last trading day of the reporting period and has been classified as Level 2 in the fair value hierarchy. See Note 5 to the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5. 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details of our convertible senior notes, which are further discussed below (original principal in thousands):</w:t>
      </w:r>
    </w:p>
    <w:tbl>
      <w:tblPr>
        <w:tblW w:w="10205" w:type="dxa"/>
        <w:jc w:val="left"/>
        <w:tblInd w:w="0" w:type="dxa"/>
        <w:tblLayout w:type="fixed"/>
        <w:tblCellMar>
          <w:top w:w="28" w:type="dxa"/>
          <w:left w:w="28" w:type="dxa"/>
          <w:bottom w:w="28" w:type="dxa"/>
          <w:right w:w="28" w:type="dxa"/>
        </w:tblCellMar>
      </w:tblPr>
      <w:tblGrid>
        <w:gridCol w:w="205"/>
        <w:gridCol w:w="180"/>
        <w:gridCol w:w="181"/>
        <w:gridCol w:w="109"/>
        <w:gridCol w:w="109"/>
        <w:gridCol w:w="109"/>
        <w:gridCol w:w="221"/>
        <w:gridCol w:w="221"/>
        <w:gridCol w:w="223"/>
        <w:gridCol w:w="109"/>
        <w:gridCol w:w="109"/>
        <w:gridCol w:w="109"/>
        <w:gridCol w:w="275"/>
        <w:gridCol w:w="275"/>
        <w:gridCol w:w="277"/>
        <w:gridCol w:w="109"/>
        <w:gridCol w:w="109"/>
        <w:gridCol w:w="109"/>
        <w:gridCol w:w="406"/>
        <w:gridCol w:w="406"/>
        <w:gridCol w:w="407"/>
        <w:gridCol w:w="109"/>
        <w:gridCol w:w="109"/>
        <w:gridCol w:w="109"/>
        <w:gridCol w:w="358"/>
        <w:gridCol w:w="358"/>
        <w:gridCol w:w="359"/>
        <w:gridCol w:w="109"/>
        <w:gridCol w:w="109"/>
        <w:gridCol w:w="109"/>
        <w:gridCol w:w="244"/>
        <w:gridCol w:w="922"/>
        <w:gridCol w:w="137"/>
        <w:gridCol w:w="109"/>
        <w:gridCol w:w="109"/>
        <w:gridCol w:w="109"/>
        <w:gridCol w:w="383"/>
        <w:gridCol w:w="383"/>
        <w:gridCol w:w="385"/>
        <w:gridCol w:w="109"/>
        <w:gridCol w:w="109"/>
        <w:gridCol w:w="109"/>
        <w:gridCol w:w="214"/>
        <w:gridCol w:w="710"/>
        <w:gridCol w:w="186"/>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Month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Free Convertibility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Redemption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Original Principal (including overallotment)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Price</w:t>
            </w:r>
          </w:p>
        </w:tc>
      </w:tr>
      <w:tr>
        <w:trPr/>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2019, we issued $345.0 million aggregate principal amount of 1.125% convertible senior notes due 2026 in a private placement to qualified institutional buyers pursuant to Rule 144A under the Securities Act of 1933, as amended, including the exercise in full by the initial purchasers of their option to purchase an additional $45.0 million principal amount (the "2026 Notes”). The 2026 Notes bear interest at a fixed rate of 1.125% per annum, payable semi-annually in arrears on February 15 and August 15 of each year, commencing on February 15, 2020. Proceeds from the issuance of the 2026 Notes totaled $335.9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1.250% convertible senior notes due 2028 in a private placement to qualified institutional buyers pursuant to Rule 144A under the Securities Act of 1933, as amended, including the partial exercise of 77.0 million principal amount by the initial purchasers of their option to purchase up to an additional $100 million principal amount (the "2028 Notes”). The 2028 Notes bear interest at a fixed rate of 1.250% per annum, payable semi-annually in arrears on February 15 and August 15 of each year, commencing on February 15, 2024. Proceeds from the issuance of the 2028 Notes totaled $691.1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2026 Notes and the 2028 Notes are together referred to as the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Notes were issued pursuant to an indenture and are senior, unsecured obligations of the Company. The 2028 Notes will rank equally with all of the Company’s existing and future senior unsecured indebtedness, including the Company’s outstanding 2026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Holders of the Notes may convert all or a portion of their Notes prior to the close of business on their respective Free Convertibility dates, in multiples of $1,000 principal amount, only under the following circumstances: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during any calendar quarter commencing after the calendar quarter in which the respective Notes were issued (and only during such calendar quarter), if the last reported sale price of our Class A common stock, par value $0.001 per share,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during the five consecutive business day period immediately following any ten consecutive trading day period (the “measurement period”) in which the trading price (as defined below) per $1,000 principal amount of Notes for each trading day of the measurement period was less than 98% of the product of the last reported sale price of our Class A common stock and the conversion rate on each such trading day;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if we call any or all of the Notes for redemption, at any time prior to the close of business on the scheduled trading day immediately preceding the redemption date; or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upon the occurrence of certain specified corporate events as set forth in the relevant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or after the relevant Free Convertibility Date, holders of the Notes may convert their Notes at any time until the close of business on the second scheduled trading day immediately preceding the maturity date of the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conversion, we will pay or deliver, as the case may be, cash, shares of our Class A common stock or a combination of cash and shares of our Class A common stock, at our election, in the manner and subject to the terms and conditions provided in the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redeem for cash all or any portion of the Notes, at its option, on or after the respective Redemption Date,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to, but excluding, the respective Redemption Date.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March 31, 2026, the Free Convertibility Date for the 2026 Notes is less than one year from the balance sheet date and therefore the 2026 Notes are classified as current liabilities on the condensed consolidated balance sheets. During the first quarter of 2026 none of the conversion conditions related to our 2028 Notes were met and therefore the 2028 Notes are not convertible at the option of the holders. As a result, the 2028 Notes were classified as non-current liabilities on the condensed consolidated balance sheets as of March 31, 2026.</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representing the amortization of issuance costs as well as contractual interest expense is amortized to interest expense at an effective interest rate of 1.5% and 1.6% over the term of the 2026 Notes and 2028 Notes,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March 31, 2026, the remaining life of the 2026 Notes and 2028 Notes were approximately 0.4 years and 2.4 years,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net carrying amount of the Notes was as follows (in thousands):</w:t>
      </w:r>
    </w:p>
    <w:tbl>
      <w:tblPr>
        <w:tblW w:w="7755" w:type="dxa"/>
        <w:jc w:val="left"/>
        <w:tblInd w:w="0" w:type="dxa"/>
        <w:tblLayout w:type="fixed"/>
        <w:tblCellMar>
          <w:top w:w="28" w:type="dxa"/>
          <w:left w:w="28" w:type="dxa"/>
          <w:bottom w:w="28" w:type="dxa"/>
          <w:right w:w="28" w:type="dxa"/>
        </w:tblCellMar>
      </w:tblPr>
      <w:tblGrid>
        <w:gridCol w:w="853"/>
        <w:gridCol w:w="748"/>
        <w:gridCol w:w="754"/>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Notes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related to the Notes was as follows (in thousands):</w:t>
      </w:r>
    </w:p>
    <w:tbl>
      <w:tblPr>
        <w:tblW w:w="5805" w:type="dxa"/>
        <w:jc w:val="left"/>
        <w:tblInd w:w="0" w:type="dxa"/>
        <w:tblLayout w:type="fixed"/>
        <w:tblCellMar>
          <w:top w:w="28" w:type="dxa"/>
          <w:left w:w="28" w:type="dxa"/>
          <w:bottom w:w="28" w:type="dxa"/>
          <w:right w:w="28" w:type="dxa"/>
        </w:tblCellMar>
      </w:tblPr>
      <w:tblGrid>
        <w:gridCol w:w="939"/>
        <w:gridCol w:w="825"/>
        <w:gridCol w:w="831"/>
        <w:gridCol w:w="262"/>
        <w:gridCol w:w="765"/>
        <w:gridCol w:w="135"/>
        <w:gridCol w:w="135"/>
        <w:gridCol w:w="135"/>
        <w:gridCol w:w="135"/>
        <w:gridCol w:w="262"/>
        <w:gridCol w:w="765"/>
        <w:gridCol w:w="135"/>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6. Commitments and Contingencies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Litigation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evaluate the development of legal matters on a regular basis and accrue a liability when we believe a loss is probable and the amount can be reasonably estimated.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 xml:space="preserve">7. Stock-Based Compensation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grant stock-based incentive awards to attract, motivate and retain qualified employees, non-employee directors and consultants, and to align their financial interests with those of our stockholders. We utilize stock-based compensation in the form of restricted stock units, performance restricted stock units, options to purchase Class A common stock and Employee Stock Purchase Plan ("ESPP") purchase rights. In December 2014, our Board of Directors adopted and the Company’s stockholders approved the 2014 Equity Incentive Plan ("the Plan").</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Stock-Based Compensation Expense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Stock-based compensation expense was recorded in the following cost and expense categories consistent with the respective employee or service provider’s related cash compensation (in thousands):</w:t>
      </w:r>
    </w:p>
    <w:tbl>
      <w:tblPr>
        <w:tblW w:w="5518" w:type="dxa"/>
        <w:jc w:val="left"/>
        <w:tblInd w:w="0" w:type="dxa"/>
        <w:tblLayout w:type="fixed"/>
        <w:tblCellMar>
          <w:top w:w="28" w:type="dxa"/>
          <w:left w:w="28" w:type="dxa"/>
          <w:bottom w:w="28" w:type="dxa"/>
          <w:right w:w="28" w:type="dxa"/>
        </w:tblCellMar>
      </w:tblPr>
      <w:tblGrid>
        <w:gridCol w:w="835"/>
        <w:gridCol w:w="736"/>
        <w:gridCol w:w="739"/>
        <w:gridCol w:w="239"/>
        <w:gridCol w:w="817"/>
        <w:gridCol w:w="123"/>
        <w:gridCol w:w="123"/>
        <w:gridCol w:w="123"/>
        <w:gridCol w:w="123"/>
        <w:gridCol w:w="239"/>
        <w:gridCol w:w="817"/>
        <w:gridCol w:w="123"/>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Stock Options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option activity under the Plan for the three months ended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tbl>
      <w:tblPr>
        <w:tblW w:w="7158" w:type="dxa"/>
        <w:jc w:val="left"/>
        <w:tblInd w:w="0" w:type="dxa"/>
        <w:tblLayout w:type="fixed"/>
        <w:tblCellMar>
          <w:top w:w="28" w:type="dxa"/>
          <w:left w:w="28" w:type="dxa"/>
          <w:bottom w:w="28" w:type="dxa"/>
          <w:right w:w="28" w:type="dxa"/>
        </w:tblCellMar>
      </w:tblPr>
      <w:tblGrid>
        <w:gridCol w:w="1065"/>
        <w:gridCol w:w="935"/>
        <w:gridCol w:w="940"/>
        <w:gridCol w:w="413"/>
        <w:gridCol w:w="413"/>
        <w:gridCol w:w="256"/>
        <w:gridCol w:w="109"/>
        <w:gridCol w:w="109"/>
        <w:gridCol w:w="109"/>
        <w:gridCol w:w="220"/>
        <w:gridCol w:w="642"/>
        <w:gridCol w:w="113"/>
        <w:gridCol w:w="109"/>
        <w:gridCol w:w="109"/>
        <w:gridCol w:w="109"/>
        <w:gridCol w:w="414"/>
        <w:gridCol w:w="414"/>
        <w:gridCol w:w="416"/>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Contractual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Term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Restricted Stock Units and Performance Restricted Stock Units</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restricted stock unit and performance restricted stock unit activity under the Plan for the three months ended March 31, 2026:</w:t>
      </w:r>
    </w:p>
    <w:tbl>
      <w:tblPr>
        <w:tblW w:w="6700" w:type="dxa"/>
        <w:jc w:val="left"/>
        <w:tblInd w:w="0" w:type="dxa"/>
        <w:tblLayout w:type="fixed"/>
        <w:tblCellMar>
          <w:top w:w="28" w:type="dxa"/>
          <w:left w:w="28" w:type="dxa"/>
          <w:bottom w:w="28" w:type="dxa"/>
          <w:right w:w="28" w:type="dxa"/>
        </w:tblCellMar>
      </w:tblPr>
      <w:tblGrid>
        <w:gridCol w:w="977"/>
        <w:gridCol w:w="858"/>
        <w:gridCol w:w="864"/>
        <w:gridCol w:w="539"/>
        <w:gridCol w:w="539"/>
        <w:gridCol w:w="541"/>
        <w:gridCol w:w="109"/>
        <w:gridCol w:w="109"/>
        <w:gridCol w:w="109"/>
        <w:gridCol w:w="442"/>
        <w:gridCol w:w="1291"/>
        <w:gridCol w:w="322"/>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 Fair Value</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2,856,553 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1,602,036 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(83,689)</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(705,661)</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3,669,239 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(1) During the three months ended March 31, 2026, in accordance with our Nonqualified Deferred Compensation Plan, no recipients elected to defer settlement of their vested restricted stock units and 42,406 shares were released from deferral.</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Employee Stock Purchase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three months ended March 31, 2026, 140,328 shares of common stock were purchased under the ESPP at a weighted-average price of $57.38 per share, resulting in cash proceeds of $8.1 million.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Compensation expense associated with ESPP purchase rights is recognized on a straight-line basis over the vesting period. As of March 31, 2026, there was approximately $1.8 million of total unrecognized compensation expense related to the ESPP, which is expected to be recognized over a weighted-average period of 0.3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8. Revenue Recognition</w:t>
      </w:r>
    </w:p>
    <w:p>
      <w:pPr>
        <w:pStyle w:val="TextBody"/>
        <w:bidi w:val="0"/>
        <w:spacing w:lineRule="auto" w:line="276" w:before="120" w:after="120"/>
        <w:jc w:val="left"/>
        <w:rPr>
          <w:rFonts w:ascii="Times New Roman;serif" w:hAnsi="Times New Roman;serif"/>
          <w:b/>
          <w:i/>
          <w:color w:val="000000"/>
          <w:sz w:val="22"/>
        </w:rPr>
      </w:pPr>
      <w:r>
        <w:rPr>
          <w:rFonts w:ascii="Times New Roman;serif" w:hAnsi="Times New Roman;serif"/>
          <w:b/>
          <w:i/>
          <w:color w:val="000000"/>
          <w:sz w:val="22"/>
        </w:rPr>
        <w:t>Deferred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recognized $206.5 million and $170.2 million of revenue during the three months ended March 31, 2026 and 2025, respectively, that was included in the deferred revenue balances at the beginning of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Transaction Price Allocated to the Remaining Performance Obligations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of March 31, 2026, we expect revenue of approximately $1,430.7 million to be recognized from remaining performance obligations for subscription contracts. We expect to recognize approximately $765.4 million of these remaining performance obligations over the next 12 months with the balance substantially recognized in the 24 months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9. Intangible Assets and Goodwill</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intangible assets (in thousands):</w:t>
      </w:r>
    </w:p>
    <w:tbl>
      <w:tblPr>
        <w:tblW w:w="10205" w:type="dxa"/>
        <w:jc w:val="left"/>
        <w:tblInd w:w="0" w:type="dxa"/>
        <w:tblLayout w:type="fixed"/>
        <w:tblCellMar>
          <w:top w:w="28" w:type="dxa"/>
          <w:left w:w="28" w:type="dxa"/>
          <w:bottom w:w="28" w:type="dxa"/>
          <w:right w:w="28" w:type="dxa"/>
        </w:tblCellMar>
      </w:tblPr>
      <w:tblGrid>
        <w:gridCol w:w="581"/>
        <w:gridCol w:w="422"/>
        <w:gridCol w:w="288"/>
        <w:gridCol w:w="280"/>
        <w:gridCol w:w="280"/>
        <w:gridCol w:w="281"/>
        <w:gridCol w:w="109"/>
        <w:gridCol w:w="109"/>
        <w:gridCol w:w="109"/>
        <w:gridCol w:w="196"/>
        <w:gridCol w:w="646"/>
        <w:gridCol w:w="109"/>
        <w:gridCol w:w="109"/>
        <w:gridCol w:w="109"/>
        <w:gridCol w:w="109"/>
        <w:gridCol w:w="228"/>
        <w:gridCol w:w="770"/>
        <w:gridCol w:w="128"/>
        <w:gridCol w:w="109"/>
        <w:gridCol w:w="109"/>
        <w:gridCol w:w="109"/>
        <w:gridCol w:w="196"/>
        <w:gridCol w:w="646"/>
        <w:gridCol w:w="109"/>
        <w:gridCol w:w="109"/>
        <w:gridCol w:w="109"/>
        <w:gridCol w:w="109"/>
        <w:gridCol w:w="196"/>
        <w:gridCol w:w="646"/>
        <w:gridCol w:w="109"/>
        <w:gridCol w:w="109"/>
        <w:gridCol w:w="109"/>
        <w:gridCol w:w="109"/>
        <w:gridCol w:w="228"/>
        <w:gridCol w:w="770"/>
        <w:gridCol w:w="128"/>
        <w:gridCol w:w="109"/>
        <w:gridCol w:w="109"/>
        <w:gridCol w:w="109"/>
        <w:gridCol w:w="196"/>
        <w:gridCol w:w="646"/>
        <w:gridCol w:w="164"/>
      </w:tblGrid>
      <w:tr>
        <w:trPr/>
        <w:tc>
          <w:tcPr>
            <w:tcW w:w="5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customer-related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trade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Patents and perpetual licenses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(28,088)</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first quarter of the subsequent annual period in which an intangible asset becomes fully amortized, the gross carrying amount and accumulated amortization are removed from the preceding table.</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Amortization expense related to intangible assets was $1.5 million and $1.9 million</w:t>
      </w:r>
      <w:r>
        <w:rPr>
          <w:color w:val="000000"/>
        </w:rPr>
        <w:t xml:space="preserve"> </w:t>
      </w:r>
      <w:r>
        <w:rPr>
          <w:rFonts w:ascii="Times New Roman;serif" w:hAnsi="Times New Roman;serif"/>
          <w:b w:val="false"/>
          <w:color w:val="000000"/>
          <w:sz w:val="22"/>
        </w:rPr>
        <w:t>for the three months ended March 31, 2026 and 2025,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March 31, 2026, expected remaining amortization expense of intangible assets by fiscal year is as follows (in thousands):</w:t>
      </w:r>
    </w:p>
    <w:tbl>
      <w:tblPr>
        <w:tblW w:w="4206" w:type="dxa"/>
        <w:jc w:val="left"/>
        <w:tblInd w:w="0" w:type="dxa"/>
        <w:tblLayout w:type="fixed"/>
        <w:tblCellMar>
          <w:top w:w="28" w:type="dxa"/>
          <w:left w:w="28" w:type="dxa"/>
          <w:bottom w:w="28" w:type="dxa"/>
          <w:right w:w="28" w:type="dxa"/>
        </w:tblCellMar>
      </w:tblPr>
      <w:tblGrid>
        <w:gridCol w:w="1129"/>
        <w:gridCol w:w="992"/>
        <w:gridCol w:w="999"/>
        <w:gridCol w:w="211"/>
        <w:gridCol w:w="72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expected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changes in the carrying amount of goodwill were as follows (in thousands):</w:t>
      </w:r>
    </w:p>
    <w:tbl>
      <w:tblPr>
        <w:tblW w:w="4625" w:type="dxa"/>
        <w:jc w:val="left"/>
        <w:tblInd w:w="0" w:type="dxa"/>
        <w:tblLayout w:type="fixed"/>
        <w:tblCellMar>
          <w:top w:w="28" w:type="dxa"/>
          <w:left w:w="28" w:type="dxa"/>
          <w:bottom w:w="28" w:type="dxa"/>
          <w:right w:w="28" w:type="dxa"/>
        </w:tblCellMar>
      </w:tblPr>
      <w:tblGrid>
        <w:gridCol w:w="1243"/>
        <w:gridCol w:w="1092"/>
        <w:gridCol w:w="109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Asset Acquisition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March 9, 2026, we acquired a company with deep expertise in data automation. The acquisition was not material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10. Net Income (Loss) Per Share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Net income (loss) per share is allocated based on the contractual participation rights of the Class A and Class B common shares as if the income (loss) for the year has been distributed. As the liquidation and dividend rights are identical, net income (loss) is allocated on a proportionate basis.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reconciliation of the denominator used in the calculation of basic and diluted income (loss) per share is as follows (in thousands, except share and per share data):</w:t>
      </w:r>
    </w:p>
    <w:tbl>
      <w:tblPr>
        <w:tblW w:w="9445" w:type="dxa"/>
        <w:jc w:val="left"/>
        <w:tblInd w:w="0" w:type="dxa"/>
        <w:tblLayout w:type="fixed"/>
        <w:tblCellMar>
          <w:top w:w="28" w:type="dxa"/>
          <w:left w:w="28" w:type="dxa"/>
          <w:bottom w:w="28" w:type="dxa"/>
          <w:right w:w="28" w:type="dxa"/>
        </w:tblCellMar>
      </w:tblPr>
      <w:tblGrid>
        <w:gridCol w:w="1398"/>
        <w:gridCol w:w="1231"/>
        <w:gridCol w:w="1240"/>
        <w:gridCol w:w="244"/>
        <w:gridCol w:w="837"/>
        <w:gridCol w:w="109"/>
        <w:gridCol w:w="109"/>
        <w:gridCol w:w="109"/>
        <w:gridCol w:w="109"/>
        <w:gridCol w:w="249"/>
        <w:gridCol w:w="727"/>
        <w:gridCol w:w="109"/>
        <w:gridCol w:w="109"/>
        <w:gridCol w:w="109"/>
        <w:gridCol w:w="109"/>
        <w:gridCol w:w="240"/>
        <w:gridCol w:w="841"/>
        <w:gridCol w:w="109"/>
        <w:gridCol w:w="109"/>
        <w:gridCol w:w="109"/>
        <w:gridCol w:w="109"/>
        <w:gridCol w:w="244"/>
        <w:gridCol w:w="732"/>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net income (loss)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net income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on convertible notes,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shares used in diluted calculation</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54,750,592 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52,311,950 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anti-dilutive securities excluded from the weighted-average shares used to calculate the diluted net income (loss) per common share were as follows:</w:t>
      </w:r>
    </w:p>
    <w:tbl>
      <w:tblPr>
        <w:tblW w:w="10205" w:type="dxa"/>
        <w:jc w:val="left"/>
        <w:tblInd w:w="0" w:type="dxa"/>
        <w:tblLayout w:type="fixed"/>
        <w:tblCellMar>
          <w:top w:w="28" w:type="dxa"/>
          <w:left w:w="28" w:type="dxa"/>
          <w:bottom w:w="28" w:type="dxa"/>
          <w:right w:w="28" w:type="dxa"/>
        </w:tblCellMar>
      </w:tblPr>
      <w:tblGrid>
        <w:gridCol w:w="2293"/>
        <w:gridCol w:w="2012"/>
        <w:gridCol w:w="2017"/>
        <w:gridCol w:w="709"/>
        <w:gridCol w:w="298"/>
        <w:gridCol w:w="277"/>
        <w:gridCol w:w="277"/>
        <w:gridCol w:w="277"/>
        <w:gridCol w:w="277"/>
        <w:gridCol w:w="708"/>
        <w:gridCol w:w="298"/>
        <w:gridCol w:w="277"/>
        <w:gridCol w:w="109"/>
        <w:gridCol w:w="109"/>
        <w:gridCol w:w="109"/>
        <w:gridCol w:w="158"/>
      </w:tblGrid>
      <w:tr>
        <w:trPr/>
        <w:tc>
          <w:tcPr>
            <w:tcW w:w="229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common stock options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848,151 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unvested restricted stock units and performance restricted stock units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3,144,913 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underlying our convertible senior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5,243,238 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11. Geographic Information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chief operating decision maker is our Chief Executive Officer ("CEO"). Our CEO reviews financial information presented on a consolidated basis for purposes of allocating resources and evaluating financial performance. There are no segment managers who are held accountable by the chief operating decision maker, or anyone else, for operations, operating results and planning for levels or components below the consolidated unit level. Accordingly, we determined we have one operating and reportable segment. </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Revenue by geography is generally based on the country of the customer as specified in our subscription order. Revenue by geographical region consisted of the following (in thousands):</w:t>
      </w:r>
    </w:p>
    <w:tbl>
      <w:tblPr>
        <w:tblW w:w="4573" w:type="dxa"/>
        <w:jc w:val="left"/>
        <w:tblInd w:w="0" w:type="dxa"/>
        <w:tblLayout w:type="fixed"/>
        <w:tblCellMar>
          <w:top w:w="28" w:type="dxa"/>
          <w:left w:w="28" w:type="dxa"/>
          <w:bottom w:w="28" w:type="dxa"/>
          <w:right w:w="28" w:type="dxa"/>
        </w:tblCellMar>
      </w:tblPr>
      <w:tblGrid>
        <w:gridCol w:w="495"/>
        <w:gridCol w:w="434"/>
        <w:gridCol w:w="436"/>
        <w:gridCol w:w="220"/>
        <w:gridCol w:w="861"/>
        <w:gridCol w:w="113"/>
        <w:gridCol w:w="113"/>
        <w:gridCol w:w="113"/>
        <w:gridCol w:w="113"/>
        <w:gridCol w:w="220"/>
        <w:gridCol w:w="861"/>
        <w:gridCol w:w="113"/>
        <w:gridCol w:w="109"/>
        <w:gridCol w:w="109"/>
        <w:gridCol w:w="109"/>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247,306 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country other than the United States represented more than 10% of total revenue during the periods presented.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long-lived assets, which primarily consist of property and equipment and operating lease right-of-use assets, are attributed to a country based on the physical location of the assets. Aggregate long-lived assets by geographical region consisted of the following (in thousands):</w:t>
      </w:r>
    </w:p>
    <w:tbl>
      <w:tblPr>
        <w:tblW w:w="5952" w:type="dxa"/>
        <w:jc w:val="left"/>
        <w:tblInd w:w="0" w:type="dxa"/>
        <w:tblLayout w:type="fixed"/>
        <w:tblCellMar>
          <w:top w:w="28" w:type="dxa"/>
          <w:left w:w="28" w:type="dxa"/>
          <w:bottom w:w="28" w:type="dxa"/>
          <w:right w:w="28" w:type="dxa"/>
        </w:tblCellMar>
      </w:tblPr>
      <w:tblGrid>
        <w:gridCol w:w="539"/>
        <w:gridCol w:w="472"/>
        <w:gridCol w:w="474"/>
        <w:gridCol w:w="386"/>
        <w:gridCol w:w="1320"/>
        <w:gridCol w:w="199"/>
        <w:gridCol w:w="109"/>
        <w:gridCol w:w="109"/>
        <w:gridCol w:w="109"/>
        <w:gridCol w:w="434"/>
        <w:gridCol w:w="1484"/>
        <w:gridCol w:w="317"/>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34,532 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12. Provision for Income Taxes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three months ended March 31, 2026 and 2025, the Company recorded a provision for income taxes of $1.6 million on pretax income of $20.6 million and $1.9 million on pretax loss of $19.4 million, respectively. The effective tax rate for the three months ended March 31, 2026 and 2025 was approximately 7.9% and (10.0)%, respectively. The effective tax rate differs from the statutory rate primarily as a result of the level and mix of earnings among tax jurisdictions and consists primarily of income taxes in certain foreign jurisdictions in which we conduct business, as well as state income taxes in the United States. We have a full valuation allowance on our U.S. deferred tax assets as we have concluded that it is more likely than not that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our operations should be read in conjunction with the condensed consolidated financial statements and related notes included elsewhere in this report and in our Annual Report on Form 10-K filed with the Securities and Exchange Commission on February 19, 2026. In addition to historical consolidated financial information, this discussion contains forward-looking statements that involve risks and uncertainties. Our actual results could differ materially from those discussed below. Factors that could cause or contribute to these differences include, but are not limited to, those identified below, and those discussed in “Item 1A. Risk Factors” of our Annual Report on Form 10-K for the year ended December 31, 2025, in “Item 1A. Risk Factors” in Part II of this Quarterly Report on Form 10-Q and in any subsequent filing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Workiva platform powers trust, transparency, and accountability. Accounting, finance, sustainability, risk, and audit teams from more than 6,600 organizations worldwide, including over 85% of FORTUNE® 1,000 companies, rely on Workiva for their mission-critical work. We transform how customers connect data, unify processes, and empower teams in a secure, audit-ready, AI-powered, collaborative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our customers use our platform for more than 100 different use cases, across dozens of vertical industries, we organize our sales and marketing resources into three purpose-built solution groups (financial reporting, sustainability management, and governance, risk and compliance (“GRC”)) focusing primarily on the office of the Chief Financial Officer (“CFO”), Chief Sustainability Officer (“CSO”), and Chief Audit Executive (“CAE”).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operate our business on a SaaS model. Customers enter into annual and multi-year subscription contracts to gain access to our platform. Our subscription fee includes the use of our software and technical support. Our subscription pricing is based primarily on a solution-based licensing model. Under this model, operating metrics related to a customer’s expected use of each solution determine the price. We charge customers additional fees primarily for document setup and XBRL tagging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primarily through our direct sales force. In addition, we augment our direct sales channel with partnerships. Our advisory and service partners offer a wider range of domain and functional expertise that broadens the capabilities of our platform, bringing scale and support to customers and prospects. Our technology partners enable more data and process integrations to help customers connect critical transactional systems directly to our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continue to invest in the development of our solutions, infrastructure and sales and marketing to drive long-term growth. Our full-time employee headcount expanded to 2,880 at March 31, 2026 from 2,873 at March 31, 2025, an increase of 0.2%.</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achieved significant revenue growth in recent periods. Our revenue grew to $247.3 million during the three months ended March 31, 2026 from $206.3 million during the three months ended March 31, 2025. We generated net income of $19.0 million during the three months ended March 31, 2026 compared to net loss of $21.4 million during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continue to invest for future growth and are focused on several key drivers, including our connected AI-powered platform, fit-for-purpose solutions, global expansion, and our partner ecosystem. These growth drivers often require a more sophisticated go-to-market approach and, as a result, we may incur additional costs upfront to obtain new customers and expand our relationships with existing customers, including additional sales and marketing expenses.</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Effects of Policy and Regulatory Uncertainty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of our sustainability management solutions have been, and may continue to be, materially impacted by domestic and global policy uncertainties. Shifts in regulatory priorities, market sentiment, and legal challenges to sustainability-related rules and regulations are affecting our market expansion opportunities in the U.S. and abroad. For example, on February 25, 2025, the European Commission unveiled the first “Omnibus” package to advance EU competitiveness and simplification of rules on sustainability. Among other measures, the package proposed streamlining key sustainability frameworks. On December 16, 2025, the European Parliament adopted the Omnibus Directive, which is part of the first Omnibus simplification package. The Council of the European Union formally adopted the resulting directive on February 24, 2026, and the Omnibus Directive was published in the Official Journal of the European Union on February 26, 2026, entering into force on March 18, 2026. The Omnibus Directive revises scoping thresholds, removes the climate transition plan requirement, and implements targeted amendments across the Corporate Sustainability Reporting Directive (“CSRD”). The adoption resulted in substantive amendments to the CSRD. We believe that the revised thresholds under these amendments have influenced the pace of customer adoption of our sustainability solutions. The potential impact on our growth trajectory of these changes, and of global policy uncertainty generally, cannot be accurately predicted.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Ongoing regulatory initiatives, including proposed changes to SEC reporting requirements intended to reduce burdens on public companies and enhance the attractiveness of capital markets, such as a potential shift in reporting frequency, could affect the performance of certain of our businesses. These developments may have positive or negative impacts on our business, but the scope and timing of any effects remain uncertain. We continue to monitor regulatory developments and assess potential effects across our business. The full scope of these potential regulatory developments, and their implications for our financial performance, cannot be predicted accurately at this time.</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Key Factors Affecting Our Performance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Generate Growth From Existing Customers.</w:t>
      </w:r>
      <w:r>
        <w:rPr>
          <w:color w:val="000000"/>
        </w:rPr>
        <w:t xml:space="preserve"> </w:t>
      </w:r>
      <w:r>
        <w:rPr>
          <w:rFonts w:ascii="Times New Roman;serif" w:hAnsi="Times New Roman;serif"/>
          <w:b w:val="false"/>
          <w:color w:val="000000"/>
          <w:sz w:val="22"/>
        </w:rPr>
        <w:t>The Workiva platform can exhibit a powerful network effect within an enterprise, meaning that the usefulness of our platform attracts additional users. Since solution-based licensing offers our customers an unlimited number of seats for each solution purchased, we expect customers to add more seats over time. As more employees in an enterprise use our platform, additional opportunities for collaboration and automation drive demand among their colleagues for additional solutions.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Pursue New Customers</w:t>
      </w:r>
      <w:r>
        <w:rPr>
          <w:rFonts w:ascii="Times New Roman;serif" w:hAnsi="Times New Roman;serif"/>
          <w:b w:val="false"/>
          <w:color w:val="000000"/>
          <w:sz w:val="22"/>
        </w:rPr>
        <w:t>. We sell to organizations that manage large, complex processes with distributed teams of contributors and disparate sets of business data. We market our platform to professionals and executives in the areas of financial and non-financial reporting, including regulatory, multi-entity and management reporting. In addition, we market to teams responsible for sustainability management and GRC programs. We intend to continue to build our sales and marketing organization and leverage our brand equity to attract new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Offer More Solutions. </w:t>
      </w:r>
      <w:r>
        <w:rPr>
          <w:rFonts w:ascii="Times New Roman;serif" w:hAnsi="Times New Roman;serif"/>
          <w:b w:val="false"/>
          <w:color w:val="000000"/>
          <w:sz w:val="22"/>
        </w:rPr>
        <w:t>We intend to introduce new solutions to continue to meet growing demand for our platform. Our close and trusted relationships with our customers are a source for new use cases, features and solutions. We have a disciplined process for tracking, developing and releasing new solutions that are designed to have immediate, broad applicability, together with a strong value proposition and high return on investment for both Workiva and our customers. Our advance planning team assesses customer needs, conducts industry-based research and defines new markets. This vetting process involves our sales, product marketing, customer success, professional services, research and development, finance and senior management teams.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Expand Across Enterprises. </w:t>
      </w:r>
      <w:r>
        <w:rPr>
          <w:rFonts w:ascii="Times New Roman;serif" w:hAnsi="Times New Roman;serif"/>
          <w:b w:val="false"/>
          <w:color w:val="000000"/>
          <w:sz w:val="22"/>
        </w:rPr>
        <w:t>Our success in delivering multiple solutions has created demand from customers for a broader-based, enterprise-wide Workiva platform. In response, we have been improving our technology and realigning sales and marketing to capitalize on our growing enterprise-wide opportunities. We believe this expansion will add new users, increase revenue and continue to support our high revenue retention rates. However, we expect that enterprise-wide deals will be larger and more complex, which tend to lengthen the sales cycle.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Add Partners.</w:t>
      </w:r>
      <w:r>
        <w:rPr>
          <w:color w:val="000000"/>
        </w:rPr>
        <w:t xml:space="preserve"> </w:t>
      </w:r>
      <w:r>
        <w:rPr>
          <w:rFonts w:ascii="Times New Roman;serif" w:hAnsi="Times New Roman;serif"/>
          <w:b w:val="false"/>
          <w:color w:val="000000"/>
          <w:sz w:val="22"/>
        </w:rPr>
        <w:t>We continue to expand and deepen our relationships with global and regional partners, including consulting firms, system integrators, large and mid-sized independent software vendors, and implementation partners. Our advisory and service partners offer a wider range of domain and functional expertise that broadens our platform’s capabilities and promotes Workiva as part of the digital transformation projects they drive for their customers. Our technology partners enable powerful data and process integrations to help customers connect critical transactional systems directly to our platform, with powerful linking, auditability and control features. We believe that our partner ecosystem extends our global reach, accelerates the usage and adoption of our platform, and enables more efficient delivery of professional services.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Investment in growth</w:t>
      </w:r>
      <w:r>
        <w:rPr>
          <w:rFonts w:ascii="Times New Roman;serif" w:hAnsi="Times New Roman;serif"/>
          <w:b w:val="false"/>
          <w:color w:val="000000"/>
          <w:sz w:val="22"/>
        </w:rPr>
        <w:t>. We plan to continue to invest in the development of our platform, fit-for-purpose solutions and application marketplace to enhance our current offerings and build new features. In addition, we expect to continue to invest in our sales, marketing, professional services and customer success organizations to drive additional revenue and support the needs of our growing customer base and to take advantage of opportunities that we have identified in Europe, the Middle East and Africa ("EMEA") and Asia-Pacific ("APAC") regions.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Seasonality.</w:t>
      </w:r>
      <w:r>
        <w:rPr>
          <w:color w:val="000000"/>
        </w:rPr>
        <w:t xml:space="preserve"> </w:t>
      </w:r>
      <w:r>
        <w:rPr>
          <w:rFonts w:ascii="Times New Roman;serif" w:hAnsi="Times New Roman;serif"/>
          <w:b w:val="false"/>
          <w:color w:val="000000"/>
          <w:sz w:val="22"/>
        </w:rPr>
        <w:t>Our revenue from professional services has some degree of seasonality. Many of our customers employ our professional services just before they file their Form 10-K, often in the first calendar quarter. Our operating cash flow may be affected by the timing of employee cash bonus payments during the first and fourth calendar quarters and by the timing of payouts under our commission plans in the first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Key Performance Indicators</w:t>
      </w:r>
    </w:p>
    <w:tbl>
      <w:tblPr>
        <w:tblW w:w="8088" w:type="dxa"/>
        <w:jc w:val="left"/>
        <w:tblInd w:w="0" w:type="dxa"/>
        <w:tblLayout w:type="fixed"/>
        <w:tblCellMar>
          <w:top w:w="28" w:type="dxa"/>
          <w:left w:w="28" w:type="dxa"/>
          <w:bottom w:w="28" w:type="dxa"/>
          <w:right w:w="28" w:type="dxa"/>
        </w:tblCellMar>
      </w:tblPr>
      <w:tblGrid>
        <w:gridCol w:w="1689"/>
        <w:gridCol w:w="1483"/>
        <w:gridCol w:w="1492"/>
        <w:gridCol w:w="211"/>
        <w:gridCol w:w="826"/>
        <w:gridCol w:w="271"/>
        <w:gridCol w:w="109"/>
        <w:gridCol w:w="109"/>
        <w:gridCol w:w="109"/>
        <w:gridCol w:w="211"/>
        <w:gridCol w:w="826"/>
        <w:gridCol w:w="271"/>
        <w:gridCol w:w="109"/>
        <w:gridCol w:w="109"/>
        <w:gridCol w:w="109"/>
        <w:gridCol w:w="154"/>
      </w:tblGrid>
      <w:tr>
        <w:trPr/>
        <w:tc>
          <w:tcPr>
            <w:tcW w:w="168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metrics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in total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in subscription and support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as a percent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696" w:type="dxa"/>
        <w:jc w:val="center"/>
        <w:tblInd w:w="0" w:type="dxa"/>
        <w:tblLayout w:type="fixed"/>
        <w:tblCellMar>
          <w:top w:w="28" w:type="dxa"/>
          <w:left w:w="28" w:type="dxa"/>
          <w:bottom w:w="28" w:type="dxa"/>
          <w:right w:w="28" w:type="dxa"/>
        </w:tblCellMar>
      </w:tblPr>
      <w:tblGrid>
        <w:gridCol w:w="1707"/>
        <w:gridCol w:w="1499"/>
        <w:gridCol w:w="1504"/>
        <w:gridCol w:w="243"/>
        <w:gridCol w:w="243"/>
        <w:gridCol w:w="249"/>
        <w:gridCol w:w="157"/>
        <w:gridCol w:w="157"/>
        <w:gridCol w:w="157"/>
        <w:gridCol w:w="228"/>
        <w:gridCol w:w="228"/>
        <w:gridCol w:w="324"/>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metrics</w:t>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6,665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6,385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retention rate</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97.3%</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97.3%</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retention rate</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112.4%</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110.1%</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$100k+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2,575</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2,079</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$300k+</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439</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$500k+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r>
    </w:tbl>
    <w:p>
      <w:pPr>
        <w:pStyle w:val="TextBody"/>
        <w:bidi w:val="0"/>
        <w:spacing w:lineRule="auto" w:line="288" w:before="120" w:after="120"/>
        <w:ind w:left="0" w:right="0" w:firstLine="720"/>
        <w:jc w:val="both"/>
        <w:rPr/>
      </w:pPr>
      <w:r>
        <w:rPr>
          <w:rFonts w:ascii="Times New Roman;serif" w:hAnsi="Times New Roman;serif"/>
          <w:b w:val="false"/>
          <w:i/>
          <w:color w:val="000000"/>
          <w:sz w:val="22"/>
        </w:rPr>
        <w:t>Total customers</w:t>
      </w:r>
      <w:r>
        <w:rPr>
          <w:rFonts w:ascii="Times New Roman;serif" w:hAnsi="Times New Roman;serif"/>
          <w:b w:val="false"/>
          <w:color w:val="000000"/>
          <w:sz w:val="22"/>
        </w:rPr>
        <w:t>. We believe total number of customers is a key indicator of our financial success and future revenue potential. We define a customer as an entity with an active subscription contract as of the measurement date. We define a customer as a separate and distinct buying entity, such as a company, a government institution, or a distinct business unit of a large company that has an active contract with us or one of our partners to access our platforms. Companies with publicly-listed securities account for a majority of our customers. As customers acquired through our Sustain.Life acquisition in 2024 renew their contracts with Workiva, they are added to our customer count above.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Gross retention rate. </w:t>
      </w:r>
      <w:r>
        <w:rPr>
          <w:rFonts w:ascii="Times New Roman;serif" w:hAnsi="Times New Roman;serif"/>
          <w:b w:val="false"/>
          <w:color w:val="000000"/>
          <w:sz w:val="22"/>
        </w:rPr>
        <w:t>Our gross retention rate is based on subscription and support revenue. We calculate our gross retention rate based on all customers that were active at the end of the same calendar quarter of the prior year (“base customers”). We begin by annualizing the subscription and support revenue recorded in the same calendar quarter of the prior year for those base customers who are still active at the end of the current quarter. We divide the result by the annualized subscription and support revenue in the same quarter of the prior year for all base customers. We believe gross retention rates are an important metric to track how the Company retains its base revenue for each year.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gross retention rate was 97.3% as of March 31, 2026, flat from March 31, 2025. We believe that our success in maintaining a high rate of revenue retention is attributable primarily to our robust technology platform and strong customer service. Customers whose securities were deregistered due to merger or acquisition or financial distress accounted for over half of our revenue attrition in the latest quarter.</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Net retention rate.</w:t>
      </w:r>
      <w:r>
        <w:rPr>
          <w:color w:val="000000"/>
        </w:rPr>
        <w:t xml:space="preserve"> </w:t>
      </w:r>
      <w:r>
        <w:rPr>
          <w:rFonts w:ascii="Times New Roman;serif" w:hAnsi="Times New Roman;serif"/>
          <w:b w:val="false"/>
          <w:color w:val="000000"/>
          <w:sz w:val="22"/>
        </w:rPr>
        <w:t xml:space="preserve">Our net retention rate is based on subscription and support revenue, and includes revenue from up-selling or cross-selling additional solutions, and pricing changes for existing customers and securing multi-year contract renewals containing periodic pricing term increases. We calculate our net retention rate by annualizing the subscription and support revenue recorded in the current quarter for our base customers that were active at the end of the current quarter. We divide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result by the annualized subscription and support revenue in the same quarter of the prior year for all base customers. We believe our net retention rate is an important metric to measure the long-term value of customer agreements and our ability to retain our customers.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net retention rate including add-ons was 112.4% as of the quarter ended March 31, 2026, up from 110.1% as of March 31, 2025.</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Annual contract value</w:t>
      </w:r>
      <w:r>
        <w:rPr>
          <w:rFonts w:ascii="Times New Roman;serif" w:hAnsi="Times New Roman;serif"/>
          <w:b w:val="false"/>
          <w:color w:val="000000"/>
          <w:sz w:val="22"/>
        </w:rPr>
        <w:t>. Our annual contract value (“ACV”) for each customer is calculated by annualizing the subscription and support revenue recognized during each quarter. We believe the increase in the number of larger contracts shows our progress in expanding our customers’ adoption of our platform. As customers acquired through our Sustain.Life acquisition in 2024 renew their contracts with Workiva, they are incorporated into our ACV metrics in the following table.</w:t>
      </w:r>
    </w:p>
    <w:tbl>
      <w:tblPr>
        <w:tblW w:w="10205" w:type="dxa"/>
        <w:jc w:val="left"/>
        <w:tblInd w:w="0" w:type="dxa"/>
        <w:tblLayout w:type="fixed"/>
        <w:tblCellMar>
          <w:top w:w="28" w:type="dxa"/>
          <w:left w:w="28" w:type="dxa"/>
          <w:bottom w:w="28" w:type="dxa"/>
          <w:right w:w="28" w:type="dxa"/>
        </w:tblCellMar>
      </w:tblPr>
      <w:tblGrid>
        <w:gridCol w:w="2726"/>
        <w:gridCol w:w="2394"/>
        <w:gridCol w:w="2400"/>
        <w:gridCol w:w="303"/>
        <w:gridCol w:w="229"/>
        <w:gridCol w:w="227"/>
        <w:gridCol w:w="227"/>
        <w:gridCol w:w="227"/>
        <w:gridCol w:w="227"/>
        <w:gridCol w:w="303"/>
        <w:gridCol w:w="229"/>
        <w:gridCol w:w="227"/>
        <w:gridCol w:w="109"/>
        <w:gridCol w:w="109"/>
        <w:gridCol w:w="109"/>
        <w:gridCol w:w="159"/>
      </w:tblGrid>
      <w:tr>
        <w:trPr/>
        <w:tc>
          <w:tcPr>
            <w:tcW w:w="2726"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$100k+ as a percent of total subscription and support revenue</w:t>
            </w:r>
          </w:p>
        </w:tc>
        <w:tc>
          <w:tcPr>
            <w:tcW w:w="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79.9%</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$300k+ as a percent of total subscription and support revenue</w:t>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43.8%</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$500k+ as a percent of total subscription and support revenue</w:t>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29.5%</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Components of Results of Operations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revenue through the sale of subscriptions to our cloud-based software and the delivery of professional services. We serve a wide range of customers in many industries, and our revenue is not concentrated with any single customer or small group of customers. For the three months ended March 31, 2026 and 2025, no single customer represented more than 1% of our revenue, and our largest 10 customers accounted for less than 10% of our revenue in the aggregate.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directly through our sales force and partners. We also identify some sales opportunities with existing customers through our customer success and professional services teams.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customer contracts typically range in length from 12 to 36 months. We typically invoice our customers for subscription fees annually in advance. For contracts with a two or three year term, customers sometimes elect to pay the entire multi-year subscription term in advance. Our arrangements do not contain general rights of return.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Subscription and Support Revenue</w:t>
      </w:r>
      <w:r>
        <w:rPr>
          <w:rFonts w:ascii="Times New Roman;serif" w:hAnsi="Times New Roman;serif"/>
          <w:b w:val="false"/>
          <w:color w:val="000000"/>
          <w:sz w:val="22"/>
        </w:rPr>
        <w:t>. We recognize subscription and support revenue on a ratable basis over the contract term beginning on the date that our service is made available to the customer. Amounts that are invoiced are initially recorded as deferred revenue.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Professional Services Revenue</w:t>
      </w:r>
      <w:r>
        <w:rPr>
          <w:rFonts w:ascii="Times New Roman;serif" w:hAnsi="Times New Roman;serif"/>
          <w:b w:val="false"/>
          <w:color w:val="000000"/>
          <w:sz w:val="22"/>
        </w:rPr>
        <w:t>. We believe our professional services facilitate the sale of our subscription service to certain customers. To date, most of our professional services have consisted of document set up, XBRL tagging, and consulting to help our customers with business processes and best practices for using our platform. Our professional services are not required for customers to utilize our solution. We recognize revenue for document set up when the service is complete and control has transferred to the customer. Revenue from XBRL tagging and consulting services are recognized as the services are performed.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Cost of revenue consists primarily of personnel and related costs directly associated with our professional services, customer success teams and training personnel, including salaries, benefits, bonuses, travel, and stock-based compensation; the costs of contracted third-party vendors; the costs of third-party hosting fees for server usage by our customers; information technology costs; and facility costs.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Sales and Marketing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We pay sales commissions for initial contracts and expansions of existing customer contracts. When the relevant amortization period is one year or less, we expense sales commissions as incurred. All other sales commissions are considered incremental costs of obtaining a contract with a customer and are deferred and amortized on a straight-line basis over a period of benefit that we have determined to be three years.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Research and Development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consist primarily of personnel and related costs, including salaries, benefits, bonuses, travel, and stock-based compensation; costs of third-party hosting fees for server usage by our developers; information technology costs; and facility costs.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General and Administrative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consist primarily of personnel and related costs for our executive, finance and accounting, legal, human resources, and administrative personnel, including salaries, benefits, bonuses, travel, and stock-based compensation; legal, accounting, and other professional service fees; other corporate expenses; information technology costs; and facility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76"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selected consolidated statement of operations data for each of the periods indicated:</w:t>
      </w:r>
    </w:p>
    <w:tbl>
      <w:tblPr>
        <w:tblW w:w="7168" w:type="dxa"/>
        <w:jc w:val="left"/>
        <w:tblInd w:w="0" w:type="dxa"/>
        <w:tblLayout w:type="fixed"/>
        <w:tblCellMar>
          <w:top w:w="28" w:type="dxa"/>
          <w:left w:w="28" w:type="dxa"/>
          <w:bottom w:w="28" w:type="dxa"/>
          <w:right w:w="28" w:type="dxa"/>
        </w:tblCellMar>
      </w:tblPr>
      <w:tblGrid>
        <w:gridCol w:w="1429"/>
        <w:gridCol w:w="1261"/>
        <w:gridCol w:w="1270"/>
        <w:gridCol w:w="220"/>
        <w:gridCol w:w="861"/>
        <w:gridCol w:w="113"/>
        <w:gridCol w:w="113"/>
        <w:gridCol w:w="113"/>
        <w:gridCol w:w="113"/>
        <w:gridCol w:w="220"/>
        <w:gridCol w:w="861"/>
        <w:gridCol w:w="113"/>
        <w:gridCol w:w="109"/>
        <w:gridCol w:w="109"/>
        <w:gridCol w:w="109"/>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Subscription and support</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services</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183,440 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182,688 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Stock-based compensation expense included in these line items was as follows:</w:t>
      </w:r>
    </w:p>
    <w:tbl>
      <w:tblPr>
        <w:tblW w:w="6658" w:type="dxa"/>
        <w:jc w:val="left"/>
        <w:tblInd w:w="0" w:type="dxa"/>
        <w:tblLayout w:type="fixed"/>
        <w:tblCellMar>
          <w:top w:w="28" w:type="dxa"/>
          <w:left w:w="28" w:type="dxa"/>
          <w:bottom w:w="28" w:type="dxa"/>
          <w:right w:w="28" w:type="dxa"/>
        </w:tblCellMar>
      </w:tblPr>
      <w:tblGrid>
        <w:gridCol w:w="1247"/>
        <w:gridCol w:w="1099"/>
        <w:gridCol w:w="1104"/>
        <w:gridCol w:w="239"/>
        <w:gridCol w:w="817"/>
        <w:gridCol w:w="123"/>
        <w:gridCol w:w="123"/>
        <w:gridCol w:w="123"/>
        <w:gridCol w:w="123"/>
        <w:gridCol w:w="239"/>
        <w:gridCol w:w="817"/>
        <w:gridCol w:w="123"/>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our consolidated statement of operations data as a percentage of revenue for each of the periods indicated:</w:t>
      </w:r>
    </w:p>
    <w:tbl>
      <w:tblPr>
        <w:tblW w:w="7490" w:type="dxa"/>
        <w:jc w:val="left"/>
        <w:tblInd w:w="0" w:type="dxa"/>
        <w:tblLayout w:type="fixed"/>
        <w:tblCellMar>
          <w:top w:w="28" w:type="dxa"/>
          <w:left w:w="28" w:type="dxa"/>
          <w:bottom w:w="28" w:type="dxa"/>
          <w:right w:w="28" w:type="dxa"/>
        </w:tblCellMar>
      </w:tblPr>
      <w:tblGrid>
        <w:gridCol w:w="1428"/>
        <w:gridCol w:w="1260"/>
        <w:gridCol w:w="1271"/>
        <w:gridCol w:w="352"/>
        <w:gridCol w:w="264"/>
        <w:gridCol w:w="567"/>
        <w:gridCol w:w="228"/>
        <w:gridCol w:w="228"/>
        <w:gridCol w:w="228"/>
        <w:gridCol w:w="352"/>
        <w:gridCol w:w="264"/>
        <w:gridCol w:w="567"/>
        <w:gridCol w:w="109"/>
        <w:gridCol w:w="10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 xml:space="preserve">Comparison of Three Months Ended March 31, 2026 and 2025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Revenue</w:t>
      </w:r>
    </w:p>
    <w:tbl>
      <w:tblPr>
        <w:tblW w:w="7012" w:type="dxa"/>
        <w:jc w:val="left"/>
        <w:tblInd w:w="0" w:type="dxa"/>
        <w:tblLayout w:type="fixed"/>
        <w:tblCellMar>
          <w:top w:w="28" w:type="dxa"/>
          <w:left w:w="28" w:type="dxa"/>
          <w:bottom w:w="28" w:type="dxa"/>
          <w:right w:w="28" w:type="dxa"/>
        </w:tblCellMar>
      </w:tblPr>
      <w:tblGrid>
        <w:gridCol w:w="779"/>
        <w:gridCol w:w="687"/>
        <w:gridCol w:w="693"/>
        <w:gridCol w:w="220"/>
        <w:gridCol w:w="861"/>
        <w:gridCol w:w="113"/>
        <w:gridCol w:w="113"/>
        <w:gridCol w:w="113"/>
        <w:gridCol w:w="113"/>
        <w:gridCol w:w="220"/>
        <w:gridCol w:w="861"/>
        <w:gridCol w:w="113"/>
        <w:gridCol w:w="109"/>
        <w:gridCol w:w="109"/>
        <w:gridCol w:w="109"/>
        <w:gridCol w:w="330"/>
        <w:gridCol w:w="330"/>
        <w:gridCol w:w="331"/>
        <w:gridCol w:w="109"/>
        <w:gridCol w:w="109"/>
        <w:gridCol w:w="109"/>
        <w:gridCol w:w="109"/>
        <w:gridCol w:w="109"/>
        <w:gridCol w:w="109"/>
        <w:gridCol w:w="154"/>
      </w:tblGrid>
      <w:tr>
        <w:trPr/>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808" w:type="dxa"/>
            <w:gridSpan w:val="7"/>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247,306 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Total revenue increased $41.0 million for the three months ended March 31, 2026 compared to the same quarter a year ago due to a $39.8 million increase in subscription and support revenue. Growth in subscription and support revenue in the first quarter was attributable mainly to strong demand and continued solution expansion across our customer base. Revenue from professional services increased $1.2 million for the three months ended March 31, 2026 compared to the same quarter a year ago primarily due to XBRL services. We continue to transition consulting and other services to our partners and expect the revenue growth rate from subscription and support to continue to outpace revenue growth from professional services on an annual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tbl>
      <w:tblPr>
        <w:tblW w:w="7013" w:type="dxa"/>
        <w:jc w:val="left"/>
        <w:tblInd w:w="0" w:type="dxa"/>
        <w:tblLayout w:type="fixed"/>
        <w:tblCellMar>
          <w:top w:w="28" w:type="dxa"/>
          <w:left w:w="28" w:type="dxa"/>
          <w:bottom w:w="28" w:type="dxa"/>
          <w:right w:w="28" w:type="dxa"/>
        </w:tblCellMar>
      </w:tblPr>
      <w:tblGrid>
        <w:gridCol w:w="781"/>
        <w:gridCol w:w="688"/>
        <w:gridCol w:w="691"/>
        <w:gridCol w:w="239"/>
        <w:gridCol w:w="817"/>
        <w:gridCol w:w="123"/>
        <w:gridCol w:w="123"/>
        <w:gridCol w:w="123"/>
        <w:gridCol w:w="123"/>
        <w:gridCol w:w="239"/>
        <w:gridCol w:w="817"/>
        <w:gridCol w:w="123"/>
        <w:gridCol w:w="109"/>
        <w:gridCol w:w="109"/>
        <w:gridCol w:w="109"/>
        <w:gridCol w:w="330"/>
        <w:gridCol w:w="330"/>
        <w:gridCol w:w="331"/>
        <w:gridCol w:w="109"/>
        <w:gridCol w:w="109"/>
        <w:gridCol w:w="109"/>
        <w:gridCol w:w="109"/>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808" w:type="dxa"/>
            <w:gridSpan w:val="7"/>
            <w:tcBorders/>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Cost of revenue increased $0.2 million during the three months ended March 31, 2026 compared to the same quarter a year ago. Subscription and support cost of revenue increased $1.1 million due primarily to $0.2 million in higher cash-based compensation and benefits costs, $0.4 million of additional stock-based compensation, and a $0.4 million increase in the cost of licensed platform content. The change in compensation was primarily driven by normal compensation increases for existing headcount and was partially offset by reduced expenses of $0.8 million recognized as a result of our transition from a paid-time-off (“PTO”) model to a flexible-time-off (“FTO”) model which was announced in the second half of 2025 and became effective in 2026 as well as a benefit of $0.4 million for a change in the timing of employer 401(k) match contributions in 2026. The increase in the cost of licensed platform content resulted primarily from our continued investment in and support of our platform and solutions. Professional services cost of revenue decreased $0.9 million due primarily to a $0.9 million decrease in cash-based compensation and benefits costs partially offset by $0.2 million of additional stock-based compensation. The change in compensation was primarily driven by reduced expenses of $0.5 million recognized as a result of our transition from a PTO model to a FTO model as well as a benefit of $0.2 million for a change in the timing of employer 401(k) match.</w:t>
      </w:r>
    </w:p>
    <w:p>
      <w:pPr>
        <w:pStyle w:val="TextBody"/>
        <w:bidi w:val="0"/>
        <w:spacing w:lineRule="auto" w:line="288" w:before="240" w:after="120"/>
        <w:ind w:left="0" w:right="0" w:hanging="180"/>
        <w:jc w:val="both"/>
        <w:rPr>
          <w:rFonts w:ascii="Times New Roman;serif" w:hAnsi="Times New Roman;serif"/>
          <w:b/>
          <w:i/>
          <w:color w:val="000000"/>
          <w:sz w:val="22"/>
        </w:rPr>
      </w:pPr>
      <w:r>
        <w:rPr>
          <w:rFonts w:ascii="Times New Roman;serif" w:hAnsi="Times New Roman;serif"/>
          <w:b/>
          <w:i/>
          <w:color w:val="000000"/>
          <w:sz w:val="22"/>
        </w:rPr>
        <w:t>Operating Expenses</w:t>
      </w:r>
    </w:p>
    <w:tbl>
      <w:tblPr>
        <w:tblW w:w="7163" w:type="dxa"/>
        <w:jc w:val="left"/>
        <w:tblInd w:w="0" w:type="dxa"/>
        <w:tblLayout w:type="fixed"/>
        <w:tblCellMar>
          <w:top w:w="28" w:type="dxa"/>
          <w:left w:w="28" w:type="dxa"/>
          <w:bottom w:w="28" w:type="dxa"/>
          <w:right w:w="28" w:type="dxa"/>
        </w:tblCellMar>
      </w:tblPr>
      <w:tblGrid>
        <w:gridCol w:w="837"/>
        <w:gridCol w:w="734"/>
        <w:gridCol w:w="739"/>
        <w:gridCol w:w="220"/>
        <w:gridCol w:w="861"/>
        <w:gridCol w:w="113"/>
        <w:gridCol w:w="113"/>
        <w:gridCol w:w="113"/>
        <w:gridCol w:w="113"/>
        <w:gridCol w:w="220"/>
        <w:gridCol w:w="861"/>
        <w:gridCol w:w="113"/>
        <w:gridCol w:w="109"/>
        <w:gridCol w:w="109"/>
        <w:gridCol w:w="109"/>
        <w:gridCol w:w="330"/>
        <w:gridCol w:w="330"/>
        <w:gridCol w:w="331"/>
        <w:gridCol w:w="109"/>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808" w:type="dxa"/>
            <w:gridSpan w:val="7"/>
            <w:tcBorders/>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183,440 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182,688 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Research and development expenses decreased $0.9 million during the three months ended March 31, 2026 compared to the same quarter a year ago due primarily to a $0.3 million decrease in cash-based compensation and benefits costs, a $0.3 million decrease in travel expense, and a $0.6 million decrease in internal event costs partially offset by $0.4 million of additional stock-based compensation and a $0.5 million increase in professional service fees. The change in compensation was primarily driven by a modest increase in employee headcount and was offset by reduced expenses of $2.0 million recognized as a result of our transition from a PTO model to a FTO model which was announced in the second half of 2025 and became effective in 2026 as well as a benefit of $0.6 million for a change in the timing of employer 401(k) match contributions in 2026. The decrease in travel expense and internal event costs relates to our annual research and development event which spanned the first and second quarters of 2025 but will be held in the second quarter of 2026. The increase in professional service fees resulted primarily from our continued investment in and support of our platform and solutions. </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Sales and Marketing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increased $2.8 million during the three months ended March 31, 2026 compared to the same quarter a year ago due primarily to $3.6 million in higher cash-based compensation and benefits costs, a $0.7 million increase in marketing and advertising, and a $0.5 million increase in professional service fees partially offset by a $1.3 million decrease in internal event costs and a $0.7 million decrease in travel expense. The change in compensation was primarily due to an increase in employee headcount and our continued investment in our go-to-market activities and was partially offset by reduced expenses of $2.0 million recognized as a result of our transition from a PTO model to a FTO model which was announced in the second half of 2025 and became effective in 2026 and a benefit of $0.6 million for a change in the timing of employer 401(k) match contributions in 2026.</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General and Administrative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decreased $1.2 million during the three months ended March 31, 2026 compared to the same quarter a year ago due primarily to a $0.9 million decrease in cash-based compensation and benefits costs and a $0.2 million decrease in stock-based compensation. The change in compensation was primarily driven by normal compensation increases for existing headcount and was offset by reduced expenses of $0.9 million recognized as a result of our transition from a PTO model to a FTO model which was announced in the second half of 2025 and became effective in 2026 as well as a benefit of $0.3 million for a change in the timing of employer 401(k) match contributions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Non-Operating Income (Expenses)</w:t>
      </w:r>
    </w:p>
    <w:tbl>
      <w:tblPr>
        <w:tblW w:w="7240" w:type="dxa"/>
        <w:jc w:val="left"/>
        <w:tblInd w:w="0" w:type="dxa"/>
        <w:tblLayout w:type="fixed"/>
        <w:tblCellMar>
          <w:top w:w="28" w:type="dxa"/>
          <w:left w:w="28" w:type="dxa"/>
          <w:bottom w:w="28" w:type="dxa"/>
          <w:right w:w="28" w:type="dxa"/>
        </w:tblCellMar>
      </w:tblPr>
      <w:tblGrid>
        <w:gridCol w:w="864"/>
        <w:gridCol w:w="757"/>
        <w:gridCol w:w="764"/>
        <w:gridCol w:w="262"/>
        <w:gridCol w:w="765"/>
        <w:gridCol w:w="135"/>
        <w:gridCol w:w="135"/>
        <w:gridCol w:w="135"/>
        <w:gridCol w:w="135"/>
        <w:gridCol w:w="262"/>
        <w:gridCol w:w="765"/>
        <w:gridCol w:w="135"/>
        <w:gridCol w:w="109"/>
        <w:gridCol w:w="109"/>
        <w:gridCol w:w="109"/>
        <w:gridCol w:w="330"/>
        <w:gridCol w:w="330"/>
        <w:gridCol w:w="331"/>
        <w:gridCol w:w="109"/>
        <w:gridCol w:w="109"/>
        <w:gridCol w:w="109"/>
        <w:gridCol w:w="109"/>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808" w:type="dxa"/>
            <w:gridSpan w:val="7"/>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Percentage is not meaningful.</w:t>
      </w:r>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Interest Income, Interest Expense, and Other Income (Expense), Net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March 31, 2026, interest income decreased $0.6 million compared to the same quarter a year ago primarily due to lower interest rates. Interest expense remained relatively flat compared to the same quarter a year ago. Other income, net increased $0.6 million compared to the same quarter a year ago due primarily to gains on foreign currency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Overview of Sources and Uses of Cash</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March 31, 2026, our principal sources of liquidity were cash, cash equivalents and marketable securities totaling $863.4 million, which were held for working capital purposes. We have financed our operations primarily through cash generated from operations and issuances of convertible debt. We have generated significant operating losses as reflected in our accumulated deficit on our condensed consolidated balance sheets. While we may incur operating losses and negative cash flows from operations in the future, we believe that current cash and cash equivalents and cash flows from operating activities will be sufficient to fund our operations for at least the next twelve months.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Convertible Debt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our 1.250% 2028 Notes. Proceeds from the issuance of the 2028 Notes totaled $691.1 million, net of initial purchaser discounts and issuance costs. We used $396.9 million of the net proceeds from the 2028 Notes offering to repurchase $273.8 million principal amount, together with accrued and unpaid interest thereon, of our 1.125% 2026 Notes in separate and individually negotiated transactions with certain holders. As of March 31, 2026, we had outstanding debt relating to our 2026 Notes and 2028 Notes of $71.1 million and $696.8 million, with corresponding maturity dates of August 15, 2026 and August 15, 2028,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Share Repurchase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August 1, 2024, we announced that on July 30, 2024, our board of directors authorized a share repurchase plan for up to $100.0 million of our outstanding Class A common stock (the “2024 Repurchase Plan”). On February 16, 2026, our board of directors modified the 2024 Repurchase Plan to authorize an additional $250 million of the Company’s outstanding Class A common stock for repurchase under the plan. The timing, manner, price and amount of any repurchases will be determined at the Company’s discretion, and the share repurchase program may be suspended, terminated or modified at any time for any reason. Shares may be repurchased through open market purchases in accordance with the requirements of Exchange Act Rule 10b-18, or privately negotiated transactions, including through the use of trading plans intended to qualify under Rule 10b5-1 under the Exchange Act. As of March 31, 2026, we have repurchased $121.6 million of our Class A common stock under the 2024 Repurchase Plan.</w:t>
      </w:r>
    </w:p>
    <w:p>
      <w:pPr>
        <w:pStyle w:val="TextBody"/>
        <w:bidi w:val="0"/>
        <w:spacing w:lineRule="auto" w:line="268" w:before="240" w:after="120"/>
        <w:jc w:val="both"/>
        <w:rPr>
          <w:rFonts w:ascii="Times New Roman;serif" w:hAnsi="Times New Roman;serif"/>
          <w:b/>
          <w:i/>
          <w:color w:val="000000"/>
          <w:sz w:val="22"/>
        </w:rPr>
      </w:pPr>
      <w:r>
        <w:rPr>
          <w:rFonts w:ascii="Times New Roman;serif" w:hAnsi="Times New Roman;serif"/>
          <w:b/>
          <w:i/>
          <w:color w:val="000000"/>
          <w:sz w:val="22"/>
        </w:rPr>
        <w:t>Cash Flows</w:t>
      </w:r>
    </w:p>
    <w:tbl>
      <w:tblPr>
        <w:tblW w:w="10205" w:type="dxa"/>
        <w:jc w:val="left"/>
        <w:tblInd w:w="0" w:type="dxa"/>
        <w:tblLayout w:type="fixed"/>
        <w:tblCellMar>
          <w:top w:w="28" w:type="dxa"/>
          <w:left w:w="28" w:type="dxa"/>
          <w:bottom w:w="28" w:type="dxa"/>
          <w:right w:w="28" w:type="dxa"/>
        </w:tblCellMar>
      </w:tblPr>
      <w:tblGrid>
        <w:gridCol w:w="2548"/>
        <w:gridCol w:w="2226"/>
        <w:gridCol w:w="2242"/>
        <w:gridCol w:w="229"/>
        <w:gridCol w:w="787"/>
        <w:gridCol w:w="118"/>
        <w:gridCol w:w="118"/>
        <w:gridCol w:w="118"/>
        <w:gridCol w:w="118"/>
        <w:gridCol w:w="229"/>
        <w:gridCol w:w="866"/>
        <w:gridCol w:w="118"/>
        <w:gridCol w:w="109"/>
        <w:gridCol w:w="109"/>
        <w:gridCol w:w="109"/>
        <w:gridCol w:w="161"/>
      </w:tblGrid>
      <w:tr>
        <w:trPr/>
        <w:tc>
          <w:tcPr>
            <w:tcW w:w="2548"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488" w:type="dxa"/>
            <w:gridSpan w:val="4"/>
            <w:tcBorders/>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(used in) operating activities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(used in) investing activities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used in financing activities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 net of impact of exchange rates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largest source of operating cash is cash collections from customers for subscription and support access to our platform. Our primary uses of cash from operating activities are for personnel-related expenditures, marketing activities, and costs of cloud infrastructure services.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provided by operating activities of $26.5 million</w:t>
      </w:r>
      <w:r>
        <w:rPr>
          <w:color w:val="000000"/>
        </w:rPr>
        <w:t xml:space="preserve"> </w:t>
      </w:r>
      <w:r>
        <w:rPr>
          <w:rFonts w:ascii="Times New Roman;serif" w:hAnsi="Times New Roman;serif"/>
          <w:b w:val="false"/>
          <w:color w:val="000000"/>
          <w:sz w:val="22"/>
        </w:rPr>
        <w:t xml:space="preserve">for the three months ended March 31, 2026 consisted of net income of $19.0 million adjusted for non-cash charges of $30.2 million and net cash outflows of $22.8 million from changes in operating assets and liabilities. The decrease in deferred revenue was driven by the deduction of bookings and timing of billings in the current period. The decrease in accounts receivable was driven by collections outpacing invoicing driven by the volume of invoicing in the prior period. The decrease in accrued expenses and other liabilities was due in part to timing of accruals and payments. </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used in operating activities of $7.4 million</w:t>
      </w:r>
      <w:r>
        <w:rPr>
          <w:color w:val="000000"/>
        </w:rPr>
        <w:t xml:space="preserve"> </w:t>
      </w:r>
      <w:r>
        <w:rPr>
          <w:rFonts w:ascii="Times New Roman;serif" w:hAnsi="Times New Roman;serif"/>
          <w:b w:val="false"/>
          <w:color w:val="000000"/>
          <w:sz w:val="22"/>
        </w:rPr>
        <w:t>for the three months ended March 31, 2025 consisted of a net loss of $21.4 million adjusted for non-cash charges of $29.6 million and net cash outflows of $15.6 million from changes in operating assets and liabilities. The decrease in accrued expenses and other liabilities was due in part to a reduction in accrued commissions as we experience higher bookings at year-end driving a reduction the following quarter. The decrease in deferred revenue was driven by the deduction of bookings and timing of billings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investing activities of $21.3 million for the three months ended March 31, 2026 consisted of $114.4 million from the maturities of marketable securities partially offset by $91.5 million in purchases of marketable securities, $0.8 million for acquisitions, net of cash, and $0.7 million in purchases of fixed assets. Our capital expenditures primarily consisted of computer equipment in support of work force.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$9.1 million for the three months ended March 31, 2025 consisted of $103.0 million in purchases of marketable securities and $0.8 million in purchases of fixed assets partially offset by $94.6 million from the maturities of marketable securities. Our capital expenditures were associated primarily with computer equipment in support of expanding our infrastructure and work force.</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$50.0 million for the three months ended March 31, 2026 consisted of $50.0 million in repurchases of our Class A common stock under the 2024 Repurchase Plan and $8.7 million in taxes paid related to net share settlements of stock-based compensation awards partially offset by $8.1 million in proceeds from shares issued in connection with our Employee Stock Purchase Plan ("ESPP") and $0.7 million in proceeds from option exercises.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used in financing activities of $45.0 million for the three months ended March 31, 2025 consisted of $40.1 million in repurchases of our Class A common stock under the 2024 Repurchase Plan and $12.9 million in taxes paid related to net share settlements of stock-based compensation awards partially offset by $7.5 million in proceeds from shares issued in connection with our ESPP and</w:t>
      </w:r>
      <w:r>
        <w:rPr>
          <w:color w:val="000000"/>
        </w:rPr>
        <w:t xml:space="preserve"> </w:t>
      </w:r>
      <w:r>
        <w:rPr>
          <w:rFonts w:ascii="Times New Roman;serif" w:hAnsi="Times New Roman;serif"/>
          <w:b w:val="false"/>
          <w:color w:val="000000"/>
          <w:sz w:val="22"/>
        </w:rPr>
        <w:t>$0.6 million in proceeds from option exercises.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Contractual Obligations and Commitments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There were no material changes in our contractual obligations and commitments from those disclosed in the Annual Report on Form 10-K for the year ended December 31, 2025 filed with the SEC on February 19,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condensed consolidated financial statements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income taxes and related disclosures. On an ongoing basis, we evaluate our estimates and assumptions. Our actual results may differ from these estimates under different assumptions or conditions.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March 31, 2026, there were no significant changes to our critical accounting policies and estimates as described in the financial statements contained in the Annual Report on Form 10-K for the year ended December 31, 2025 filed with the SEC on 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quantitative and qualitative disclosures about market risk, see “Item 7A., Quantitative and Qualitative Disclosures About Market Risk” of our Annual Report on Form 10-K for the year ended December 31, 2025. Our exposures to market risk have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management, with the participation of our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on Form 10-Q.</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such evaluation, our principal executive officer and principal financial officer have concluded that as of such date,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disclosures.</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were no changes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Limitations on the Effectiveness of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are not presently a party to any legal proceedings that in the opinion of our management, if determined adversely to us, would have a material adverse effect on our business, financial condition, operating results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the other information set forth in this report, you should carefully consider the factors discussed in Part I, “Item 1A. Risk Factors” in our 2025 Annual Report on Form 10-K, which could materially affect our business, financial condition or future results. There have been no material changes during fiscal year 2026 to the risk factors that were included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Unregistered Sales of Securities and Use of Proceeds</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Sales of Unregistered Securities</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Issuer Purchases of Equity Securities</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1, 2024, we announced that on July 30, 2024, our board of directors authorized a share repurchase plan for up to $100.0 million of our outstanding Class A common stock. On February 16, 2026, our board of directors modified the 2024 Repurchase Plan to authorize an additional $250 million of the Company’s outstanding Class A common stock for repurchase under the plan.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share repurchase activity for the three months ended March 31, 2026 (in thousands, except share and per share data):</w:t>
      </w:r>
    </w:p>
    <w:tbl>
      <w:tblPr>
        <w:tblW w:w="10205" w:type="dxa"/>
        <w:jc w:val="left"/>
        <w:tblInd w:w="0" w:type="dxa"/>
        <w:tblLayout w:type="fixed"/>
        <w:tblCellMar>
          <w:top w:w="28" w:type="dxa"/>
          <w:left w:w="28" w:type="dxa"/>
          <w:bottom w:w="28" w:type="dxa"/>
          <w:right w:w="28" w:type="dxa"/>
        </w:tblCellMar>
      </w:tblPr>
      <w:tblGrid>
        <w:gridCol w:w="673"/>
        <w:gridCol w:w="543"/>
        <w:gridCol w:w="545"/>
        <w:gridCol w:w="519"/>
        <w:gridCol w:w="408"/>
        <w:gridCol w:w="409"/>
        <w:gridCol w:w="109"/>
        <w:gridCol w:w="109"/>
        <w:gridCol w:w="109"/>
        <w:gridCol w:w="247"/>
        <w:gridCol w:w="724"/>
        <w:gridCol w:w="128"/>
        <w:gridCol w:w="109"/>
        <w:gridCol w:w="109"/>
        <w:gridCol w:w="109"/>
        <w:gridCol w:w="538"/>
        <w:gridCol w:w="451"/>
        <w:gridCol w:w="452"/>
        <w:gridCol w:w="109"/>
        <w:gridCol w:w="109"/>
        <w:gridCol w:w="109"/>
        <w:gridCol w:w="634"/>
        <w:gridCol w:w="2480"/>
        <w:gridCol w:w="473"/>
      </w:tblGrid>
      <w:tr>
        <w:trPr/>
        <w:tc>
          <w:tcPr>
            <w:tcW w:w="67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 per Share</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Shares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as Part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Publicly Announced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that May Yet Be Purchased Under the Plans or Programs</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to January 31, 2026</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185,318 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185,318 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13,393 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100,061 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257,395 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to March 31, 2026</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477,338 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477,338 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228,405 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762,717</w:t>
            </w:r>
            <w:r>
              <w:rPr>
                <w:color w:val="000000"/>
              </w:rPr>
              <w:t> </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762,717</w:t>
            </w:r>
            <w:r>
              <w:rPr>
                <w:color w:val="000000"/>
              </w:rPr>
              <w:t>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Director and Officer Trading Arrangements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March 31, 2026,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lineRule="auto" w:line="276"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exhibits are being filed herewith or incorporated by reference herein:</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5"/>
        <w:gridCol w:w="2645"/>
        <w:gridCol w:w="37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section302xceoc.htm">
              <w:r>
                <w:rPr>
                  <w:rStyle w:val="InternetLink"/>
                  <w:rFonts w:ascii="Times New Roman;serif" w:hAnsi="Times New Roman;serif"/>
                  <w:b w:val="false"/>
                  <w:color w:val="0000FF"/>
                  <w:sz w:val="20"/>
                  <w:u w:val="single"/>
                </w:rPr>
                <w:t>Certification of the Chief Executive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section302xcfoc.htm">
              <w:r>
                <w:rPr>
                  <w:rStyle w:val="InternetLink"/>
                  <w:rFonts w:ascii="Times New Roman;serif" w:hAnsi="Times New Roman;serif"/>
                  <w:b w:val="false"/>
                  <w:color w:val="0000FF"/>
                  <w:sz w:val="20"/>
                  <w:u w:val="single"/>
                </w:rPr>
                <w:t>Certification of the Chief Financial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section906xceoc.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section906xcfoc.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Workiva Inc.'s Quarterly Report on Form 10-Q for the quarter ended March 31, 2026 formatted in Inline XBRL (Extensible Business Reporting Language) includes: (i) the Condensed Consolidated Balance Sheets, (ii) the Condensed Consolidated Statements of Operations, (iii) the Condensed Consolidated Statements of Comprehensive Income (Loss), (iv) the Condensed Consolidated Statements of Changes in Stockholders Deficit, (v) the Condensed Consolidated Statements of Cash Flows, and (vi) Notes to the Consolidated Financial Statements.</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4865d3b727f456a8b9254cfdd3738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 xml:space="preserve">SIGNATURES </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Section 13 or 15(d) of the Securities Exchange Act of 1934, the Registrant has duly caused this report to be signed on its behalf by the undersigned, thereunto duly authorized on this 5th day of May, 2026.</w:t>
      </w:r>
    </w:p>
    <w:tbl>
      <w:tblPr>
        <w:tblW w:w="6174" w:type="dxa"/>
        <w:jc w:val="right"/>
        <w:tblInd w:w="0" w:type="dxa"/>
        <w:tblLayout w:type="fixed"/>
        <w:tblCellMar>
          <w:top w:w="28" w:type="dxa"/>
          <w:left w:w="28" w:type="dxa"/>
          <w:bottom w:w="28" w:type="dxa"/>
          <w:right w:w="28" w:type="dxa"/>
        </w:tblCellMar>
      </w:tblPr>
      <w:tblGrid>
        <w:gridCol w:w="325"/>
        <w:gridCol w:w="285"/>
        <w:gridCol w:w="285"/>
        <w:gridCol w:w="1534"/>
        <w:gridCol w:w="1534"/>
        <w:gridCol w:w="2211"/>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617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WORKIVA INC.</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Julie Iskow</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Iskow</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Barbara Larson</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Barbara Larson</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Julie Iskow,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Workiva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4736" w:type="dxa"/>
        <w:jc w:val="right"/>
        <w:tblInd w:w="0" w:type="dxa"/>
        <w:tblLayout w:type="fixed"/>
        <w:tblCellMar>
          <w:top w:w="28" w:type="dxa"/>
          <w:left w:w="28" w:type="dxa"/>
          <w:bottom w:w="28" w:type="dxa"/>
          <w:right w:w="28" w:type="dxa"/>
        </w:tblCellMar>
      </w:tblPr>
      <w:tblGrid>
        <w:gridCol w:w="417"/>
        <w:gridCol w:w="368"/>
        <w:gridCol w:w="370"/>
        <w:gridCol w:w="109"/>
        <w:gridCol w:w="109"/>
        <w:gridCol w:w="109"/>
        <w:gridCol w:w="950"/>
        <w:gridCol w:w="950"/>
        <w:gridCol w:w="13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Barbara Larson,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Workiva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0" w:after="0"/>
        <w:jc w:val="left"/>
        <w:rPr/>
      </w:pPr>
      <w:r>
        <w:rPr/>
      </w:r>
    </w:p>
    <w:tbl>
      <w:tblPr>
        <w:tblW w:w="6807"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1555"/>
        <w:gridCol w:w="1555"/>
        <w:gridCol w:w="2215"/>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Barbara Larson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Financial Officer and Treasurer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Julie Iskow, President and Chief Executive Officer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March 31, 2026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4736"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950"/>
        <w:gridCol w:w="950"/>
        <w:gridCol w:w="13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Barbara Larson, Executive Vice President, Chief Financial Officer, and Treasurer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March 31, 2026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6807"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1555"/>
        <w:gridCol w:w="1555"/>
        <w:gridCol w:w="2215"/>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14593</Words>
  <Characters>81471</Characters>
  <CharactersWithSpaces>94965</CharactersWithSpaces>
  <Paragraphs>2054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