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WORKIVA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9419" w:type="dxa"/>
        <w:jc w:val="center"/>
        <w:tblInd w:w="0" w:type="dxa"/>
        <w:tblLayout w:type="fixed"/>
        <w:tblCellMar>
          <w:top w:w="28" w:type="dxa"/>
          <w:left w:w="28" w:type="dxa"/>
          <w:bottom w:w="28" w:type="dxa"/>
          <w:right w:w="28" w:type="dxa"/>
        </w:tblCellMar>
      </w:tblPr>
      <w:tblGrid>
        <w:gridCol w:w="1564"/>
        <w:gridCol w:w="1374"/>
        <w:gridCol w:w="1382"/>
        <w:gridCol w:w="689"/>
        <w:gridCol w:w="689"/>
        <w:gridCol w:w="691"/>
        <w:gridCol w:w="886"/>
        <w:gridCol w:w="886"/>
        <w:gridCol w:w="1258"/>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001-36773</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47-2509828</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2900 University Blvd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Ames, IA 50010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r>
      <w:tr>
        <w:trPr/>
        <w:tc>
          <w:tcPr>
            <w:tcW w:w="94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tbl>
      <w:tblPr>
        <w:tblW w:w="8045" w:type="dxa"/>
        <w:jc w:val="left"/>
        <w:tblInd w:w="0" w:type="dxa"/>
        <w:tblLayout w:type="fixed"/>
        <w:tblCellMar>
          <w:top w:w="28" w:type="dxa"/>
          <w:left w:w="28" w:type="dxa"/>
          <w:bottom w:w="28" w:type="dxa"/>
          <w:right w:w="28" w:type="dxa"/>
        </w:tblCellMar>
      </w:tblPr>
      <w:tblGrid>
        <w:gridCol w:w="1137"/>
        <w:gridCol w:w="999"/>
        <w:gridCol w:w="999"/>
        <w:gridCol w:w="477"/>
        <w:gridCol w:w="477"/>
        <w:gridCol w:w="477"/>
        <w:gridCol w:w="1019"/>
        <w:gridCol w:w="1019"/>
        <w:gridCol w:w="1441"/>
      </w:tblGrid>
      <w:tr>
        <w:trPr/>
        <w:tc>
          <w:tcPr>
            <w:tcW w:w="113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120" w:after="60"/>
        <w:jc w:val="left"/>
        <w:rPr/>
      </w:pPr>
      <w:r>
        <w:rPr/>
      </w:r>
    </w:p>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12b-2 of the Exchange Act. </w:t>
      </w:r>
    </w:p>
    <w:p>
      <w:pPr>
        <w:pStyle w:val="TextBody"/>
        <w:bidi w:val="0"/>
        <w:spacing w:lineRule="auto" w:line="288" w:before="120" w:after="60"/>
        <w:jc w:val="both"/>
        <w:rPr/>
      </w:pPr>
      <w:r>
        <w:rPr>
          <w:rFonts w:ascii="Times New Roman;serif" w:hAnsi="Times New Roman;serif"/>
          <w:b w:val="false"/>
          <w:color w:val="000000"/>
          <w:sz w:val="18"/>
        </w:rPr>
        <w:t>Emerging growth company    </w:t>
      </w:r>
      <w:r>
        <w:rPr>
          <w:color w:val="000000"/>
        </w:rPr>
        <w:t>☐</w:t>
      </w:r>
    </w:p>
    <w:p>
      <w:pPr>
        <w:pStyle w:val="TextBody"/>
        <w:bidi w:val="0"/>
        <w:spacing w:lineRule="auto" w:line="288" w:before="120" w:after="12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Section 2 -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Item 2.02 - Results of Operations and Financial Condition</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August 4, 2026, Workiva Inc. (the “Company”) issued a press release announcing its results for the quarter ended June 30, 2026. A copy of the press release is attached as Exhibit 99.1 to this current report on Form 8-K and is incorporated by reference herein.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Section 9 - Financial Statements and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Item 9.01 - Financial Statements and Exhibits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(d): The following exhibits are being filed herewith:</w:t>
      </w:r>
    </w:p>
    <w:tbl>
      <w:tblPr>
        <w:tblW w:w="9942"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572"/>
        <w:gridCol w:w="2572"/>
        <w:gridCol w:w="366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hibit991.htm">
              <w:r>
                <w:rPr>
                  <w:rStyle w:val="InternetLink"/>
                  <w:rFonts w:ascii="Times New Roman;serif" w:hAnsi="Times New Roman;serif"/>
                  <w:b w:val="false"/>
                  <w:color w:val="0000FF"/>
                  <w:sz w:val="20"/>
                  <w:u w:val="single"/>
                </w:rPr>
                <w:t>Press Release entitled "Workiva Announces Second Quarter 2026 Financial Results" dated August 4, 2026</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4th day of August, 2026.</w:t>
      </w:r>
    </w:p>
    <w:p>
      <w:pPr>
        <w:pStyle w:val="TextBody"/>
        <w:bidi w:val="0"/>
        <w:spacing w:before="0" w:after="0"/>
        <w:jc w:val="left"/>
        <w:rPr/>
      </w:pPr>
      <w:r>
        <w:rPr/>
      </w:r>
    </w:p>
    <w:tbl>
      <w:tblPr>
        <w:tblW w:w="6220" w:type="dxa"/>
        <w:jc w:val="right"/>
        <w:tblInd w:w="0" w:type="dxa"/>
        <w:tblLayout w:type="fixed"/>
        <w:tblCellMar>
          <w:top w:w="28" w:type="dxa"/>
          <w:left w:w="28" w:type="dxa"/>
          <w:bottom w:w="28" w:type="dxa"/>
          <w:right w:w="28" w:type="dxa"/>
        </w:tblCellMar>
      </w:tblPr>
      <w:tblGrid>
        <w:gridCol w:w="325"/>
        <w:gridCol w:w="285"/>
        <w:gridCol w:w="285"/>
        <w:gridCol w:w="1548"/>
        <w:gridCol w:w="1548"/>
        <w:gridCol w:w="2229"/>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622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WORKIVA INC.</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Barbara Larson</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Barbara Larson</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638300" cy="3905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638300" cy="3905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8"/>
        </w:rPr>
      </w:pPr>
      <w:r>
        <w:rPr>
          <w:rFonts w:ascii="Times New Roman;serif" w:hAnsi="Times New Roman;serif"/>
          <w:b/>
          <w:color w:val="000000"/>
          <w:sz w:val="28"/>
        </w:rPr>
        <w:t>Workiva Announces Second Quarter 2026 Financial Results</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Fiscal second quarter subscription &amp; support revenue increased by 19%</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Total revenue was $255 million, up 19% year-over-year</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GAAP operating margin was 4.6%, non-GAAP operating margin was 16.8%</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Repurchased $123 million worth of Class A common stock under the 2024 share repurchase plan</w:t>
      </w:r>
    </w:p>
    <w:p>
      <w:pPr>
        <w:pStyle w:val="TextBody"/>
        <w:bidi w:val="0"/>
        <w:spacing w:before="0" w:after="0"/>
        <w:jc w:val="center"/>
        <w:rPr/>
      </w:pPr>
      <w:r>
        <w:rPr/>
      </w:r>
    </w:p>
    <w:p>
      <w:pPr>
        <w:pStyle w:val="TextBody"/>
        <w:bidi w:val="0"/>
        <w:spacing w:lineRule="auto" w:line="288" w:before="120" w:after="120"/>
        <w:jc w:val="both"/>
        <w:rPr/>
      </w:pPr>
      <w:r>
        <w:rPr>
          <w:rFonts w:ascii="Times New Roman;serif" w:hAnsi="Times New Roman;serif"/>
          <w:b/>
          <w:color w:val="000000"/>
          <w:sz w:val="22"/>
        </w:rPr>
        <w:t>NEW YORK - August 4, 2026</w:t>
      </w:r>
      <w:r>
        <w:rPr>
          <w:color w:val="000000"/>
        </w:rPr>
        <w:t xml:space="preserve"> – </w:t>
      </w:r>
      <w:r>
        <w:rPr>
          <w:rFonts w:ascii="Times New Roman;serif" w:hAnsi="Times New Roman;serif"/>
          <w:b w:val="false"/>
          <w:color w:val="000000"/>
          <w:sz w:val="22"/>
        </w:rPr>
        <w:t xml:space="preserve">Workiva Inc. (NYSE: WK), a leading, audit-ready platform for trust, transparency, and accountability, today announced financial results for its second quarter ended June 30, 2026. </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2"/>
        </w:rPr>
        <w:t>Q2 was another quarter marked by strong financial performance and continued proof that Workiva is the platform CFOs trust in the AI era,” said Julie Iskow, President &amp; Chief Executive Officer. “We beat the high end of our revenue guidance with 19% growth in both subscription and total revenue, while rapidly expanding margins. At the same time, we are transforming our platform to be agentic-first where agents will enable customers in advanced solution tiers to accelerate reporting and compliance outcomes with the control and traceability of the Workiva platform.”</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2"/>
        </w:rPr>
        <w:t>While our pace of innovation has accelerated, we have also maintained our rigorous focus on operational discipline and expanding operating leverage as we scale the business,” said Barbara Larson, Chief Financial Officer. "Our non-GAAP operating margin beat the high end of our guidance by 180 basis points, representing a 1,300 basis point improvement over Q2 of last year. This outperformance has positioned us to achieve our 2027 medium-term operating margin target of 18% a full year ahead of schedule.”</w:t>
      </w:r>
    </w:p>
    <w:p>
      <w:pPr>
        <w:pStyle w:val="TextBody"/>
        <w:bidi w:val="0"/>
        <w:spacing w:lineRule="auto" w:line="288" w:before="300" w:after="240"/>
        <w:jc w:val="both"/>
        <w:rPr>
          <w:rFonts w:ascii="Times New Roman;serif" w:hAnsi="Times New Roman;serif"/>
          <w:b/>
          <w:color w:val="000000"/>
          <w:sz w:val="22"/>
          <w:u w:val="single"/>
        </w:rPr>
      </w:pPr>
      <w:r>
        <w:rPr>
          <w:rFonts w:ascii="Times New Roman;serif" w:hAnsi="Times New Roman;serif"/>
          <w:b/>
          <w:color w:val="000000"/>
          <w:sz w:val="22"/>
          <w:u w:val="single"/>
        </w:rPr>
        <w:t>Second Quarter 2026 Financial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Revenue:</w:t>
      </w:r>
      <w:r>
        <w:rPr>
          <w:color w:val="000000"/>
        </w:rPr>
        <w:t xml:space="preserve"> </w:t>
      </w:r>
      <w:r>
        <w:rPr>
          <w:rFonts w:ascii="Times New Roman;serif" w:hAnsi="Times New Roman;serif"/>
          <w:b w:val="false"/>
          <w:color w:val="000000"/>
          <w:sz w:val="22"/>
        </w:rPr>
        <w:t>Total revenue for the second quarter of 2026 reached</w:t>
      </w:r>
      <w:r>
        <w:rPr>
          <w:color w:val="000000"/>
        </w:rPr>
        <w:t xml:space="preserve"> </w:t>
      </w:r>
      <w:r>
        <w:rPr>
          <w:rFonts w:ascii="Times New Roman;serif" w:hAnsi="Times New Roman;serif"/>
          <w:b w:val="false"/>
          <w:color w:val="000000"/>
          <w:sz w:val="22"/>
        </w:rPr>
        <w:t>$255 million, an increase of 19% from $215 million in the second quarter of 2025. Subscription and support revenue contributed $236 million, up 19% versus the second quarter of 2025. Professional services revenue was $19 million, up 12% from the second quarter of 2025.</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 xml:space="preserve">Operating Margin: </w:t>
      </w:r>
      <w:r>
        <w:rPr>
          <w:rFonts w:ascii="Times New Roman;serif" w:hAnsi="Times New Roman;serif"/>
          <w:b w:val="false"/>
          <w:color w:val="000000"/>
          <w:sz w:val="22"/>
        </w:rPr>
        <w:t>GAAP operating margin for the second quarter of 2026 was 4.6% compared to (10.2)% in the prior year's second quarter. Non-GAAP operating margin was 16.8% compared to 3.8% in the second quarter of 2025.</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 xml:space="preserve">GAAP Net Income (Loss): </w:t>
      </w:r>
      <w:r>
        <w:rPr>
          <w:rFonts w:ascii="Times New Roman;serif" w:hAnsi="Times New Roman;serif"/>
          <w:b w:val="false"/>
          <w:color w:val="000000"/>
          <w:sz w:val="22"/>
        </w:rPr>
        <w:t>GAAP net income for the second quarter of 2026 was $13 million compared with a net loss of $(19) million for the prior year's second quarter. GAAP net income per basic share and diluted share was $0.24,</w:t>
      </w:r>
      <w:r>
        <w:rPr>
          <w:color w:val="000000"/>
        </w:rPr>
        <w:t xml:space="preserve"> </w:t>
      </w:r>
      <w:r>
        <w:rPr>
          <w:rFonts w:ascii="Times New Roman;serif" w:hAnsi="Times New Roman;serif"/>
          <w:b w:val="false"/>
          <w:color w:val="000000"/>
          <w:sz w:val="22"/>
        </w:rPr>
        <w:t>compared with a net loss per basic and diluted share of $(0.35) in the second quarter of 2025.</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2"/>
        </w:rPr>
        <w:t>Non-GAAP Net Income:</w:t>
      </w:r>
      <w:r>
        <w:rPr>
          <w:color w:val="000000"/>
        </w:rPr>
        <w:t xml:space="preserve"> </w:t>
      </w:r>
      <w:r>
        <w:rPr>
          <w:rFonts w:ascii="Times New Roman;serif" w:hAnsi="Times New Roman;serif"/>
          <w:b w:val="false"/>
          <w:color w:val="000000"/>
          <w:sz w:val="22"/>
        </w:rPr>
        <w:t>Non-GAAP net income for the second quarter of 2026 was $45 million compared with non-GAAP net income of $11 million in the prior year's second quarter. Non-GAAP net income per basic share and diluted share in the second quarter of 2026 was $0.80 and $0.77, respectively, compared with non-GAAP net income per basic share and diluted share of $0.20 and $0.19, respectively,</w:t>
      </w:r>
      <w:r>
        <w:rPr>
          <w:color w:val="000000"/>
        </w:rPr>
        <w:t xml:space="preserve"> </w:t>
      </w:r>
      <w:r>
        <w:rPr>
          <w:rFonts w:ascii="Times New Roman;serif" w:hAnsi="Times New Roman;serif"/>
          <w:b w:val="false"/>
          <w:color w:val="000000"/>
          <w:sz w:val="22"/>
        </w:rPr>
        <w:t>in the second quarter of 2025.</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2"/>
        </w:rPr>
        <w:t xml:space="preserve">Operating Cash Flow and Free Cash Flow: </w:t>
      </w:r>
      <w:r>
        <w:rPr>
          <w:rFonts w:ascii="Times New Roman;serif" w:hAnsi="Times New Roman;serif"/>
          <w:b w:val="false"/>
          <w:color w:val="000000"/>
          <w:sz w:val="22"/>
        </w:rPr>
        <w:t xml:space="preserve">Operating cash flow for the second quarter of 2026 was $78 million compared with $50 million for the prior year's second quarter. Free cash flow for the second quarter of 2026 was $78 million compared with $49 million in the second quarter of 2025. </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2"/>
        </w:rPr>
        <w:t xml:space="preserve">Liquidity: </w:t>
      </w:r>
      <w:r>
        <w:rPr>
          <w:rFonts w:ascii="Times New Roman;serif" w:hAnsi="Times New Roman;serif"/>
          <w:b w:val="false"/>
          <w:color w:val="000000"/>
          <w:sz w:val="22"/>
        </w:rPr>
        <w:t xml:space="preserve">As of June 30, 2026, Workiva had cash, cash equivalents, and marketable securities totaling $815 million, compared with $892 million as of December 31, 2025. Workiva had $71 million aggregate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principal amount of 1.125% convertible senior notes due in 2026, $702 million aggregate principal amount of 1.250% convertible senior notes due in 2028, and $14 million of finance lease obligations outstanding as of June 30, 2026.</w:t>
      </w:r>
    </w:p>
    <w:p>
      <w:pPr>
        <w:pStyle w:val="TextBody"/>
        <w:bidi w:val="0"/>
        <w:spacing w:lineRule="auto" w:line="288" w:before="240" w:after="283"/>
        <w:jc w:val="both"/>
        <w:rPr>
          <w:rFonts w:ascii="Times New Roman;serif" w:hAnsi="Times New Roman;serif"/>
          <w:b/>
          <w:color w:val="000000"/>
          <w:sz w:val="22"/>
          <w:u w:val="single"/>
        </w:rPr>
      </w:pPr>
      <w:r>
        <w:rPr>
          <w:rFonts w:ascii="Times New Roman;serif" w:hAnsi="Times New Roman;serif"/>
          <w:b/>
          <w:color w:val="000000"/>
          <w:sz w:val="22"/>
          <w:u w:val="single"/>
        </w:rPr>
        <w:t>Key Metrics and Recent Business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 xml:space="preserve">Customers: </w:t>
      </w:r>
      <w:r>
        <w:rPr>
          <w:rFonts w:ascii="Times New Roman;serif" w:hAnsi="Times New Roman;serif"/>
          <w:b w:val="false"/>
          <w:color w:val="000000"/>
          <w:sz w:val="22"/>
        </w:rPr>
        <w:t xml:space="preserve">Workiva had 6,750 customers as of June 30, 2026, a net increase of 283 customers from June 30, 2025. </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Retention Rate:</w:t>
      </w:r>
      <w:r>
        <w:rPr>
          <w:color w:val="000000"/>
        </w:rPr>
        <w:t xml:space="preserve"> </w:t>
      </w:r>
      <w:r>
        <w:rPr>
          <w:rFonts w:ascii="Times New Roman;serif" w:hAnsi="Times New Roman;serif"/>
          <w:b w:val="false"/>
          <w:color w:val="000000"/>
          <w:sz w:val="22"/>
        </w:rPr>
        <w:t>As of June 30, 2026, Workiva's gross retention rate was 97%, and the net retention rate was 111%. Net retention includes changes in both solutions and pricing for existing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 xml:space="preserve">Large Contracts: </w:t>
      </w:r>
      <w:r>
        <w:rPr>
          <w:rFonts w:ascii="Times New Roman;serif" w:hAnsi="Times New Roman;serif"/>
          <w:b w:val="false"/>
          <w:color w:val="000000"/>
          <w:sz w:val="22"/>
        </w:rPr>
        <w:t>As of June 30, 2026, Workiva had 2,690 customers with an annual contract value (“ACV”) of more than $100,000, up 20% from 2,241 customers at June 30, 2025. Workiva had 656 customers with an ACV of more than $300,000, up 34% from 488 customers in the second quarter of 2025. Workiva had 276 customers with an ACV of more than $500,000, up 33% from 208 customers in the second quarter of 2025.</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2"/>
        </w:rPr>
        <w:t xml:space="preserve">Share Repurchase Plan: </w:t>
      </w:r>
      <w:r>
        <w:rPr>
          <w:rFonts w:ascii="Times New Roman;serif" w:hAnsi="Times New Roman;serif"/>
          <w:b w:val="false"/>
          <w:color w:val="000000"/>
          <w:sz w:val="22"/>
        </w:rPr>
        <w:t>On July 30, 2024, our board of directors authorized a share repurchase plan for up to $100 million of our outstanding Class A common stock. On February 16, 2026, our board of directors modified the repurchase plan to authorize an additional $250 million of the Company’s outstanding Class A common stock for repurchase under the plan. During the second quarter of 2026, Workiva purchased approximately 2.5 million shares for $123 million under the plan. As of June 30, 2026, approximately $106 million remained available under the plan for future share repurchases.</w:t>
      </w:r>
    </w:p>
    <w:p>
      <w:pPr>
        <w:pStyle w:val="TextBody"/>
        <w:bidi w:val="0"/>
        <w:spacing w:lineRule="auto" w:line="288" w:before="240" w:after="240"/>
        <w:jc w:val="both"/>
        <w:rPr>
          <w:rFonts w:ascii="Times New Roman;serif" w:hAnsi="Times New Roman;serif"/>
          <w:b/>
          <w:color w:val="000000"/>
          <w:sz w:val="22"/>
          <w:u w:val="single"/>
        </w:rPr>
      </w:pPr>
      <w:r>
        <w:rPr>
          <w:rFonts w:ascii="Times New Roman;serif" w:hAnsi="Times New Roman;serif"/>
          <w:b/>
          <w:color w:val="000000"/>
          <w:sz w:val="22"/>
          <w:u w:val="single"/>
        </w:rPr>
        <w:t>Financial Outlook</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As of August 4, 2026, Workiva is providing guidance as follows:</w:t>
      </w:r>
    </w:p>
    <w:p>
      <w:pPr>
        <w:pStyle w:val="TextBody"/>
        <w:bidi w:val="0"/>
        <w:spacing w:lineRule="auto" w:line="288" w:before="120" w:after="283"/>
        <w:jc w:val="both"/>
        <w:rPr/>
      </w:pPr>
      <w:r>
        <w:rPr>
          <w:rFonts w:ascii="Times New Roman;serif" w:hAnsi="Times New Roman;serif"/>
          <w:b/>
          <w:color w:val="000000"/>
          <w:sz w:val="22"/>
        </w:rPr>
        <w:t>Third Quarter 2026 Guidance</w:t>
      </w:r>
      <w:r>
        <w:rPr>
          <w:rFonts w:ascii="Times New Roman;serif" w:hAnsi="Times New Roman;serif"/>
          <w:b w:val="false"/>
          <w:color w:val="000000"/>
          <w:sz w:val="22"/>
        </w:rPr>
        <w: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Total revenue is expected to be in the range of $260 million to $262 million.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GAAP operating margin is expected to be in the range of 4.2% to 4.8%.</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Non-GAAP operating margin is expected to be in the range of 17.0% to 17.5%.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GAAP net income per diluted share is expected to be in the range of $0.21 to $0.25 using 54.6 million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Non-GAAP net income per diluted share is expected to be in the range of $0.79 to $0.82 using 59.9 million shares.</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Full Year 2026 Guidance: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Total revenue is expected to be in the range of $1.040 billion to $1.044 billion.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GAAP operating margin is expected to be in the range of 5.7% to 5.8%.</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Non-GAAP operating margin is expected to be approximately 18%.</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GAAP net income per diluted share is expected to be in the range of $1.21 to $1.22 using 55.7 million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Non-GAAP net income per diluted share is expected to be in the range of $3.38 to $3.39 using 60.9 million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Free cash flow margin is expected to be approximately 21%.</w:t>
      </w:r>
    </w:p>
    <w:p>
      <w:pPr>
        <w:pStyle w:val="TextBody"/>
        <w:bidi w:val="0"/>
        <w:spacing w:lineRule="auto" w:line="288" w:before="180" w:after="120"/>
        <w:jc w:val="both"/>
        <w:rPr>
          <w:rFonts w:ascii="Times New Roman;serif" w:hAnsi="Times New Roman;serif"/>
          <w:b/>
          <w:color w:val="000000"/>
          <w:sz w:val="22"/>
          <w:u w:val="single"/>
        </w:rPr>
      </w:pPr>
      <w:r>
        <w:rPr>
          <w:rFonts w:ascii="Times New Roman;serif" w:hAnsi="Times New Roman;serif"/>
          <w:b/>
          <w:color w:val="000000"/>
          <w:sz w:val="22"/>
          <w:u w:val="single"/>
        </w:rPr>
        <w:t>Quarterly Conference Call</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Workiva will host a webcast today at 5:00 p.m. Eastern Time to review the Company’s financial results for the second quarter 2026, in addition to discussing the Company’s outlook for the third quarter and full year 2026. The call can be accessed by dialing 1-833-630-1956 (U.S. domestic) or 1-412-317-1837 (international). Additionally, a live webcast and replay will be available at https://investor.workiva.com/news-events/events. </w:t>
      </w:r>
    </w:p>
    <w:p>
      <w:pPr>
        <w:pStyle w:val="TextBody"/>
        <w:bidi w:val="0"/>
        <w:spacing w:lineRule="auto" w:line="288" w:before="120" w:after="120"/>
        <w:jc w:val="both"/>
        <w:rPr>
          <w:rFonts w:ascii="Times New Roman;serif" w:hAnsi="Times New Roman;serif"/>
          <w:b/>
          <w:color w:val="000000"/>
          <w:sz w:val="22"/>
          <w:u w:val="single"/>
        </w:rPr>
      </w:pPr>
      <w:r>
        <w:rPr>
          <w:rFonts w:ascii="Times New Roman;serif" w:hAnsi="Times New Roman;serif"/>
          <w:b/>
          <w:color w:val="000000"/>
          <w:sz w:val="22"/>
          <w:u w:val="single"/>
        </w:rPr>
        <w:t>About Workiva</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Workiva Inc. (NYSE: WK) powers trust, transparency, and accountability. Accounting, finance, sustainability, risk and audit teams from more than 6,700 organizations, including over 85% of Fortune 1,000 companies rely on Workiva for their mission-critical work. We transform how customers connect data, unify processes, and empower teams in a secure, audit-ready platform. Learn more at workiva.com.</w:t>
      </w:r>
    </w:p>
    <w:p>
      <w:pPr>
        <w:pStyle w:val="TextBody"/>
        <w:bidi w:val="0"/>
        <w:spacing w:lineRule="auto" w:line="288" w:before="120" w:after="120"/>
        <w:jc w:val="both"/>
        <w:rPr>
          <w:rFonts w:ascii="Times New Roman;serif" w:hAnsi="Times New Roman;serif"/>
          <w:b/>
          <w:color w:val="000000"/>
          <w:sz w:val="22"/>
          <w:u w:val="single"/>
        </w:rPr>
      </w:pPr>
      <w:r>
        <w:rPr>
          <w:rFonts w:ascii="Times New Roman;serif" w:hAnsi="Times New Roman;serif"/>
          <w:b/>
          <w:color w:val="000000"/>
          <w:sz w:val="22"/>
          <w:u w:val="single"/>
        </w:rPr>
        <w:t xml:space="preserve">Non-GAAP Financial Measures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non-GAAP adjustments referenced herein relate to the exclusion of stock-based compensation and amortization of acquisition-related intangible assets. A reconciliation of GAAP to non-GAAP historical financial measures has been provided in Table I at the end of this press release. A reconciliation of GAAP to non-GAAP guidance has been provided in Table II at the end of this press release.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Workiva believes that the use of non-GAAP gross profit, non-GAAP income from operations and non-GAAP operating margin, non-GAAP net income, non-GAAP net income per share, free cash flow and free cash flow margin is helpful to its investors. These measures, which are referred to as non-GAAP financial measures, are not prepared in accordance with generally accepted accounting principles in the United States, or GAAP. Workiva’s management uses these non-GAAP financial measures as tools for financial and operational decision making and for evaluating Workiva’s own operating results over different periods of time.</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Non-GAAP gross profit is calculated by excluding stock-based compensation expense and amortization expense for acquisition-related intangible assets attributable to cost of revenues from gross profit. Non-GAAP income from operations is calculated by excluding stock-based compensation expense and amortization expense for acquisition-related intangible assets from loss from operations. Non-GAAP operating margin is the ratio calculated by dividing non-GAAP income from operations by revenues. Non-GAAP net income is calculated by excluding stock-based compensation expense, net of tax and amortization expense for acquisition-related intangible assets from net income (loss). Non-GAAP net income per share is calculated by dividing non-GAAP net income by non-GAAP weighted- average shares outstanding.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Beginning with the three months and six months ended June 30, 2026, we are adding back interest expense (net of taxes) to the numerator of our non-GAAP diluted earnings per share in accordance with the if-converted method of calculating the dilutive impact of our convertible senior notes. Prior to this change, potentially dilutive shares associated with our convertible senior notes were included in the denominator, but the numerator was not adjusted, as our convertible senior notes had historically been anti-dilutive for GAAP purposes. As the Company has achieved GAAP profitability, our convertible senior notes may now be dilutive, and we are aligning our non-GAAP calculation with the if-converted method used for GAAP diluted EPS. Prior periods have not been recast.</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Because of varying available valuation methodologies, subjective assumptions and the variety of equity instruments that can impact a company’s non-cash expenses, Workiva believes that providing non-GAAP financial measures that exclude stock-based compensation expense allows for more meaningful comparisons between its operating results from period to period. For business combinations, we generally allocate a portion of the purchase price to intangible assets. The amount of the allocation is based on estimates and assumptions made by management and is subject to amortization. The amount of purchase price allocated to intangible assets and the term of its related amortization can vary significantly and are unique to each acquisition and thus we do not believe they are reflective of ongoing operations.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Free cash flow, a non-GAAP measure, represents cash flow from operating activities less purchase of property and equipment. Free cash flow margin is calculated by dividing free cash flow by total revenue. We consider free cash flow and free cash flow margin to be liquidity measures that provide useful information to investors about the amount of cash generated or used by the business.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Non-GAAP financial measures may not provide information that is directly comparable to that provided by other companies in Workiva’s industry, as other companies in the industry may calculate non-GAAP financial results differently. In addition, there are limitations in using non-GAAP financial measures because the non-GAAP financial measures are not prepared in accordance with GAAP, may be different from non-GAAP financial measures used by other companies and exclude expenses that may have a material impact on Workiva’s reported financial results. Further, stock-based compensation expense has been and will continue to be for the foreseeable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future a significant recurring expense in Workiva’s business and an important part of the compensation provided to its employees. The presentation of non-GAAP financial information is not meant to be considered in isolation or as a substitute for the directly comparable financial measures prepared in accordance with GAAP. Investors should review the reconciliation of non-GAAP financial measures to the comparable GAAP financial measures included below, and not rely on any single financial measure to evaluate Workiva’s business.</w:t>
      </w:r>
    </w:p>
    <w:p>
      <w:pPr>
        <w:pStyle w:val="TextBody"/>
        <w:bidi w:val="0"/>
        <w:spacing w:lineRule="auto" w:line="288" w:before="120" w:after="120"/>
        <w:jc w:val="both"/>
        <w:rPr>
          <w:rFonts w:ascii="Times New Roman;serif" w:hAnsi="Times New Roman;serif"/>
          <w:b/>
          <w:color w:val="000000"/>
          <w:sz w:val="22"/>
          <w:u w:val="single"/>
        </w:rPr>
      </w:pPr>
      <w:r>
        <w:rPr>
          <w:rFonts w:ascii="Times New Roman;serif" w:hAnsi="Times New Roman;serif"/>
          <w:b/>
          <w:color w:val="000000"/>
          <w:sz w:val="22"/>
          <w:u w:val="single"/>
        </w:rPr>
        <w:t>Forward-Looking Statements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Certain statements in this press release are "forward-looking statements" within the meaning of Section 21E of the Securities Exchange Act of 1934, as amended, and are subject to the safe harbor created thereby. These statements relate to future events or the Company’s future financial performance and involve known and unknown risks, uncertainties and other factors that may cause the actual results, levels of activity, performance or achievements of the Company or its industry to be materially different from those expressed or implied by any forward-looking statements. In particular, statements about the Company’s expectations, beliefs, plans, objectives, assumptions, future events or future performance contained in this press release are forward-looking statements. In some cases, forward-looking statements can be identified by terminology such as "may," "will," "could," "would," "should," "expect," "plan," "anticipate," "intend," "believe," "estimate," "predict," "potential," "outlook," "guidance," "target," "goal," "project," "continue to," "confident," or the negative of those terms or other comparable terminology.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Please see the Company’s documents filed or to be filed with the Securities and Exchange Commission, including the Company’s annual reports filed on Form 10-K and quarterly reports on Form 10-Q, and any amendments thereto for a discussion of certain important risk factors that relate to forward-looking statements contained in this report. The Company has based these forward-looking statements on its current expectations, assumptions, estimates and projections. While the Company believes these expectations, assumptions, estimates and projections are reasonable, such forward-looking statements are only predictions and involve known and unknown risks and uncertainties, many of which are beyond the Company’s control. These and other important factors may cause actual results, performance or achievements to differ materially from those expressed or implied by these forward-looking statements. Any forward-looking statements are made only as of the date hereof, and unless otherwise required by applicable securities laws, the Company disclaims any intention or obligation to update or revise any forward-looking statements, whether as a result of new information, future events or otherwise.</w:t>
      </w:r>
    </w:p>
    <w:tbl>
      <w:tblPr>
        <w:tblW w:w="5456" w:type="dxa"/>
        <w:jc w:val="center"/>
        <w:tblInd w:w="0" w:type="dxa"/>
        <w:tblLayout w:type="fixed"/>
        <w:tblCellMar>
          <w:top w:w="28" w:type="dxa"/>
          <w:left w:w="28" w:type="dxa"/>
          <w:bottom w:w="28" w:type="dxa"/>
          <w:right w:w="28" w:type="dxa"/>
        </w:tblCellMar>
      </w:tblPr>
      <w:tblGrid>
        <w:gridCol w:w="124"/>
        <w:gridCol w:w="109"/>
        <w:gridCol w:w="109"/>
        <w:gridCol w:w="764"/>
        <w:gridCol w:w="764"/>
        <w:gridCol w:w="768"/>
        <w:gridCol w:w="140"/>
        <w:gridCol w:w="140"/>
        <w:gridCol w:w="140"/>
        <w:gridCol w:w="718"/>
        <w:gridCol w:w="652"/>
        <w:gridCol w:w="6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Investor Contact:</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Media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Katie White</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Lauren Covello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Workiva Inc.</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Workiva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investor@workiva.com</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press@workiva.com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9745" w:type="dxa"/>
        <w:jc w:val="center"/>
        <w:tblInd w:w="0" w:type="dxa"/>
        <w:tblLayout w:type="fixed"/>
        <w:tblCellMar>
          <w:top w:w="28" w:type="dxa"/>
          <w:left w:w="28" w:type="dxa"/>
          <w:bottom w:w="28" w:type="dxa"/>
          <w:right w:w="28" w:type="dxa"/>
        </w:tblCellMar>
      </w:tblPr>
      <w:tblGrid>
        <w:gridCol w:w="1428"/>
        <w:gridCol w:w="1260"/>
        <w:gridCol w:w="1271"/>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WORKIVA INC.</w:t>
              <w:br/>
              <w:br/>
              <w:t>CONSOLIDATED STATEMENTS OF OPERATIONS</w:t>
              <w:br/>
              <w:t>(in thousands, except share and per share amounts)</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Subscription and support </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Professional services </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323,582 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55,259,608 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56,076,723 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Includes stock-based compensation expense as follows:</w:t>
      </w:r>
    </w:p>
    <w:tbl>
      <w:tblPr>
        <w:tblW w:w="7566" w:type="dxa"/>
        <w:jc w:val="left"/>
        <w:tblInd w:w="0" w:type="dxa"/>
        <w:tblLayout w:type="fixed"/>
        <w:tblCellMar>
          <w:top w:w="28" w:type="dxa"/>
          <w:left w:w="28" w:type="dxa"/>
          <w:bottom w:w="28" w:type="dxa"/>
          <w:right w:w="28" w:type="dxa"/>
        </w:tblCellMar>
      </w:tblPr>
      <w:tblGrid>
        <w:gridCol w:w="835"/>
        <w:gridCol w:w="736"/>
        <w:gridCol w:w="739"/>
        <w:gridCol w:w="246"/>
        <w:gridCol w:w="718"/>
        <w:gridCol w:w="127"/>
        <w:gridCol w:w="127"/>
        <w:gridCol w:w="127"/>
        <w:gridCol w:w="127"/>
        <w:gridCol w:w="246"/>
        <w:gridCol w:w="718"/>
        <w:gridCol w:w="127"/>
        <w:gridCol w:w="109"/>
        <w:gridCol w:w="109"/>
        <w:gridCol w:w="109"/>
        <w:gridCol w:w="222"/>
        <w:gridCol w:w="650"/>
        <w:gridCol w:w="115"/>
        <w:gridCol w:w="115"/>
        <w:gridCol w:w="115"/>
        <w:gridCol w:w="115"/>
        <w:gridCol w:w="222"/>
        <w:gridCol w:w="650"/>
        <w:gridCol w:w="162"/>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7322" w:type="dxa"/>
        <w:jc w:val="center"/>
        <w:tblInd w:w="0" w:type="dxa"/>
        <w:tblLayout w:type="fixed"/>
        <w:tblCellMar>
          <w:top w:w="28" w:type="dxa"/>
          <w:left w:w="28" w:type="dxa"/>
          <w:bottom w:w="28" w:type="dxa"/>
          <w:right w:w="28" w:type="dxa"/>
        </w:tblCellMar>
      </w:tblPr>
      <w:tblGrid>
        <w:gridCol w:w="1377"/>
        <w:gridCol w:w="1217"/>
        <w:gridCol w:w="1230"/>
        <w:gridCol w:w="225"/>
        <w:gridCol w:w="1040"/>
        <w:gridCol w:w="116"/>
        <w:gridCol w:w="116"/>
        <w:gridCol w:w="116"/>
        <w:gridCol w:w="116"/>
        <w:gridCol w:w="278"/>
        <w:gridCol w:w="1288"/>
        <w:gridCol w:w="203"/>
      </w:tblGrid>
      <w:tr>
        <w:trPr/>
        <w:tc>
          <w:tcPr>
            <w:tcW w:w="137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73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WORKIVA INC.</w:t>
              <w:br/>
              <w:br/>
              <w:t>CONSOLIDATED BALANCE SHEETS</w:t>
              <w:br/>
              <w:t>(in thousands)</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338,769 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168,984 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1,063,973 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1,162,385 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non-current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1,374,451 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1,493,571 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547,919 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current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722,547 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741,652 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non-current</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696,263 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non-current</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1,471,527 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1,499,007 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720,923 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(733,852)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(97,076)</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1,374,451 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1,493,571 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36"/>
        <w:gridCol w:w="1509"/>
        <w:gridCol w:w="1519"/>
        <w:gridCol w:w="214"/>
        <w:gridCol w:w="735"/>
        <w:gridCol w:w="110"/>
        <w:gridCol w:w="110"/>
        <w:gridCol w:w="110"/>
        <w:gridCol w:w="110"/>
        <w:gridCol w:w="214"/>
        <w:gridCol w:w="788"/>
        <w:gridCol w:w="110"/>
        <w:gridCol w:w="109"/>
        <w:gridCol w:w="109"/>
        <w:gridCol w:w="109"/>
        <w:gridCol w:w="211"/>
        <w:gridCol w:w="721"/>
        <w:gridCol w:w="109"/>
        <w:gridCol w:w="109"/>
        <w:gridCol w:w="109"/>
        <w:gridCol w:w="109"/>
        <w:gridCol w:w="211"/>
        <w:gridCol w:w="772"/>
        <w:gridCol w:w="162"/>
      </w:tblGrid>
      <w:tr>
        <w:trPr/>
        <w:tc>
          <w:tcPr>
            <w:tcW w:w="183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WORKIVA INC.</w:t>
              <w:br/>
              <w:br/>
              <w:t>CONSOLIDATED STATEMENTS OF CASH FLOWS</w:t>
              <w:br/>
              <w:t>(in thousands)</w:t>
            </w:r>
          </w:p>
        </w:tc>
      </w:tr>
      <w:tr>
        <w:trPr/>
        <w:tc>
          <w:tcPr>
            <w:tcW w:w="4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of doubtful accounts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premiums and discounts on marketable securities, net</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marketable securities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(205,950)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49"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(34,301)</w:t>
            </w:r>
          </w:p>
        </w:tc>
        <w:tc>
          <w:tcPr>
            <w:tcW w:w="11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w:t>
            </w:r>
          </w:p>
        </w:tc>
        <w:tc>
          <w:tcPr>
            <w:tcW w:w="11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(13,416)</w:t>
            </w:r>
          </w:p>
        </w:tc>
        <w:tc>
          <w:tcPr>
            <w:tcW w:w="1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46"/>
        <w:gridCol w:w="1419"/>
        <w:gridCol w:w="142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4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WORKIVA INC.</w:t>
              <w:br/>
              <w:br/>
              <w:t>CONSOLIDATED STATEMENTS OF CASH FLOWS</w:t>
              <w:br/>
              <w:t>(in thousands)</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settlements of stock-based compensation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in connection with employee stock purchase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63"/>
        <w:gridCol w:w="1462"/>
        <w:gridCol w:w="14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6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to the consolidated balance sheets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prepaid expenses and other at end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at end of period shown in the consolidated statements of cash flows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01"/>
        <w:gridCol w:w="1441"/>
        <w:gridCol w:w="145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0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I</w:t>
              <w:br/>
              <w:t>WORKIVA INC.</w:t>
              <w:br/>
              <w:t>RECONCILIATION OF NON-GAAP INFORMATION</w:t>
              <w:br/>
              <w:t>(in thousands, except share and per share)</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subscription and support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314,396 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Amortization of acquisition-related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subscription and support,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321,189 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professional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professional services,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Amortization of acquisition-related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non-GAAP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332,477 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subscription and support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acquisition-related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subscription and support,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professional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professional services,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acquisition-related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non-GAAP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95,027 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acquisition-related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185,130 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64"/>
        <w:gridCol w:w="1101"/>
        <w:gridCol w:w="1104"/>
        <w:gridCol w:w="244"/>
        <w:gridCol w:w="837"/>
        <w:gridCol w:w="271"/>
        <w:gridCol w:w="109"/>
        <w:gridCol w:w="109"/>
        <w:gridCol w:w="109"/>
        <w:gridCol w:w="240"/>
        <w:gridCol w:w="841"/>
        <w:gridCol w:w="271"/>
        <w:gridCol w:w="109"/>
        <w:gridCol w:w="109"/>
        <w:gridCol w:w="109"/>
        <w:gridCol w:w="219"/>
        <w:gridCol w:w="862"/>
        <w:gridCol w:w="271"/>
        <w:gridCol w:w="109"/>
        <w:gridCol w:w="109"/>
        <w:gridCol w:w="109"/>
        <w:gridCol w:w="240"/>
        <w:gridCol w:w="841"/>
        <w:gridCol w:w="318"/>
      </w:tblGrid>
      <w:tr>
        <w:trPr/>
        <w:tc>
          <w:tcPr>
            <w:tcW w:w="156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I</w:t>
              <w:br/>
              <w:t>WORKIVA INC.</w:t>
              <w:br/>
              <w:t>RECONCILIATION OF NON-GAAP INFORMATION</w:t>
              <w:br/>
              <w:t>(in thousands, except share and per share)</w:t>
            </w:r>
          </w:p>
        </w:tc>
      </w:tr>
      <w:tr>
        <w:trP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Amortization of acquisition-related intangibles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 non-GAAP</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operating margin</w:t>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Amortization of acquisition-related intangibles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basic, non-GAAP</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19,348 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basic, non-GAAP</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back: Interest expense, net of taxes</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diluted, non-GAAP</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19,348 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basic share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basic share, non-GAAP</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diluted share</w:t>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 non-GAAP</w:t>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3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55,638,926 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56,076,723 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55,259,608 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56,133,286 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56,056,066 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56,076,723 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55,819,175 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56,133,286 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securities, non-GAAP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1,997,835 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 non-GAAP</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62,188,091 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57,815,320 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61,951,200 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58,131,121 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41,195 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 margin</w:t>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 margin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Please refer to the Non-GAAP Financial Measures section for information about the methodology of this calculation as it is different across the periods presented.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05"/>
        <w:gridCol w:w="961"/>
        <w:gridCol w:w="965"/>
        <w:gridCol w:w="328"/>
        <w:gridCol w:w="766"/>
        <w:gridCol w:w="318"/>
        <w:gridCol w:w="128"/>
        <w:gridCol w:w="128"/>
        <w:gridCol w:w="128"/>
        <w:gridCol w:w="328"/>
        <w:gridCol w:w="766"/>
        <w:gridCol w:w="318"/>
        <w:gridCol w:w="109"/>
        <w:gridCol w:w="109"/>
        <w:gridCol w:w="109"/>
        <w:gridCol w:w="315"/>
        <w:gridCol w:w="766"/>
        <w:gridCol w:w="288"/>
        <w:gridCol w:w="115"/>
        <w:gridCol w:w="115"/>
        <w:gridCol w:w="115"/>
        <w:gridCol w:w="315"/>
        <w:gridCol w:w="766"/>
        <w:gridCol w:w="344"/>
      </w:tblGrid>
      <w:tr>
        <w:trPr/>
        <w:tc>
          <w:tcPr>
            <w:tcW w:w="160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II</w:t>
              <w:br/>
              <w:t>WORKIVA INC.</w:t>
              <w:br/>
              <w:t>RECONCILIATION OF NON-GAAP GUIDANCE</w:t>
            </w:r>
          </w:p>
        </w:tc>
      </w:tr>
      <w:tr>
        <w:trPr/>
        <w:tc>
          <w:tcPr>
            <w:tcW w:w="3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ending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ending December 31, 2026</w:t>
            </w:r>
          </w:p>
        </w:tc>
      </w:tr>
      <w:tr>
        <w:trPr/>
        <w:tc>
          <w:tcPr>
            <w:tcW w:w="3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margin</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Amortization of acquisition-related intangibles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 GAAP</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Amortization of acquisition-related intangibles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Interest expense, net of taxes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securities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diluted share, non-GAAP</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in calculating GAAP earnings per share, diluted</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54,600,000 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54,600,000 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55,700,000 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55,700,000 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in calculating non-GAAP earnings per share, diluted</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59,900,000 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59,900,000 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60,900,000 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60,900,000 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4556</Words>
  <Characters>25584</Characters>
  <CharactersWithSpaces>29473</CharactersWithSpaces>
  <Paragraphs>1188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