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rFonts w:ascii="Times New Roman;serif" w:hAnsi="Times New Roman;serif"/>
          <w:b/>
          <w:color w:val="000000"/>
          <w:sz w:val="32"/>
        </w:rPr>
        <w:t xml:space="preserve">FORM </w:t>
      </w:r>
      <w:r>
        <w:rPr>
          <w:rFonts w:ascii="Times New Roman;serif" w:hAnsi="Times New Roman;serif"/>
          <w:b/>
          <w:color w:val="000000"/>
          <w:sz w:val="36"/>
        </w:rPr>
        <w:t>10-Q</w:t>
      </w:r>
      <w:r>
        <w:rPr>
          <w:color w:val="000000"/>
        </w:rPr>
        <w:t xml:space="preserv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702" w:type="dxa"/>
        <w:jc w:val="center"/>
        <w:tblInd w:w="0" w:type="dxa"/>
        <w:tblLayout w:type="fixed"/>
        <w:tblCellMar>
          <w:top w:w="28" w:type="dxa"/>
          <w:left w:w="28" w:type="dxa"/>
          <w:bottom w:w="28" w:type="dxa"/>
          <w:right w:w="28" w:type="dxa"/>
        </w:tblCellMar>
      </w:tblPr>
      <w:tblGrid>
        <w:gridCol w:w="1680"/>
        <w:gridCol w:w="1482"/>
        <w:gridCol w:w="1482"/>
        <w:gridCol w:w="1482"/>
        <w:gridCol w:w="1482"/>
        <w:gridCol w:w="209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For transition period from               to</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Commission File Number 001-36773</w:t>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60"/>
        <w:jc w:val="center"/>
        <w:rPr>
          <w:rFonts w:ascii="Times New Roman;serif" w:hAnsi="Times New Roman;serif"/>
          <w:b/>
          <w:color w:val="000000"/>
          <w:sz w:val="36"/>
        </w:rPr>
      </w:pPr>
      <w:r>
        <w:rPr>
          <w:rFonts w:ascii="Times New Roman;serif" w:hAnsi="Times New Roman;serif"/>
          <w:b/>
          <w:color w:val="000000"/>
          <w:sz w:val="36"/>
        </w:rPr>
        <w:t xml:space="preserve">WORKIVA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676"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109"/>
        <w:gridCol w:w="109"/>
        <w:gridCol w:w="109"/>
        <w:gridCol w:w="886"/>
        <w:gridCol w:w="886"/>
        <w:gridCol w:w="125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ableContents"/>
              <w:bidi w:val="0"/>
              <w:spacing w:before="0" w:after="0"/>
              <w:jc w:val="center"/>
              <w:rPr/>
            </w:pPr>
            <w:r>
              <w:rPr/>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20" w:after="60"/>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120"/>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4" w:type="dxa"/>
        <w:jc w:val="left"/>
        <w:tblInd w:w="0" w:type="dxa"/>
        <w:tblLayout w:type="fixed"/>
        <w:tblCellMar>
          <w:top w:w="28" w:type="dxa"/>
          <w:left w:w="28" w:type="dxa"/>
          <w:bottom w:w="28" w:type="dxa"/>
          <w:right w:w="28" w:type="dxa"/>
        </w:tblCellMar>
      </w:tblPr>
      <w:tblGrid>
        <w:gridCol w:w="750"/>
        <w:gridCol w:w="660"/>
        <w:gridCol w:w="660"/>
        <w:gridCol w:w="670"/>
        <w:gridCol w:w="670"/>
        <w:gridCol w:w="9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erif" w:hAnsi="Times New Roman;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Accelerated filer </w:t>
            </w:r>
            <w:r>
              <w:rPr>
                <w:rFonts w:ascii="Wingdings;sans-serif" w:hAnsi="Wingdings;sans-serif"/>
                <w:b w:val="false"/>
                <w:color w:val="000000"/>
                <w:sz w:val="20"/>
              </w:rPr>
              <w:t>o</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Non-accelerated filer</w:t>
            </w:r>
            <w:r>
              <w:rPr>
                <w:color w:val="000000"/>
              </w:rPr>
              <w:t>    </w:t>
            </w:r>
            <w:r>
              <w:rPr>
                <w:rFonts w:ascii="Wingdings;sans-serif" w:hAnsi="Wingdings;sans-serif"/>
                <w:b w:val="false"/>
                <w:color w:val="000000"/>
                <w:sz w:val="20"/>
              </w:rPr>
              <w:t>o</w:t>
            </w:r>
            <w:r>
              <w:rPr>
                <w:color w:val="000000"/>
              </w:rPr>
              <w:t xml:space="preserve">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October 30, 2025, there were approximately 52,432,466 shares of the registrant's Class A common stock and 3,695,583 shares of the registrant's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66"/>
        <w:gridCol w:w="234"/>
        <w:gridCol w:w="235"/>
        <w:gridCol w:w="109"/>
        <w:gridCol w:w="109"/>
        <w:gridCol w:w="109"/>
        <w:gridCol w:w="2889"/>
        <w:gridCol w:w="2836"/>
        <w:gridCol w:w="2843"/>
        <w:gridCol w:w="167"/>
        <w:gridCol w:w="167"/>
        <w:gridCol w:w="24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0b34a011045e7bbaef04afaefd68a_13">
              <w:r>
                <w:rPr>
                  <w:rStyle w:val="InternetLink"/>
                  <w:rFonts w:ascii="Times New Roman;serif" w:hAnsi="Times New Roman;serif"/>
                  <w:b/>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6">
              <w:r>
                <w:rPr>
                  <w:rStyle w:val="InternetLink"/>
                  <w:rFonts w:ascii="Times New Roman;serif" w:hAnsi="Times New Roman;serif"/>
                  <w:b w:val="false"/>
                  <w:color w:val="0000FF"/>
                  <w:sz w:val="20"/>
                  <w:u w:val="single"/>
                </w:rPr>
                <w:t>Item 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6">
              <w:r>
                <w:rPr>
                  <w:rStyle w:val="InternetLink"/>
                  <w:rFonts w:ascii="Times New Roman;serif" w:hAnsi="Times New Roman;serif"/>
                  <w:b w:val="false"/>
                  <w:color w:val="0000FF"/>
                  <w:sz w:val="20"/>
                  <w:u w:val="single"/>
                </w:rPr>
                <w:t>Unaudited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6">
              <w:r>
                <w:rPr>
                  <w:rStyle w:val="InternetLink"/>
                  <w:rFonts w:ascii="Times New Roman;serif" w:hAnsi="Times New Roman;serif"/>
                  <w:b w:val="false"/>
                  <w:color w:val="0000FF"/>
                  <w:sz w:val="20"/>
                  <w:u w:val="single"/>
                </w:rPr>
                <w:t>1</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9">
              <w:r>
                <w:rPr>
                  <w:rStyle w:val="InternetLink"/>
                  <w:rFonts w:ascii="Times New Roman;serif" w:hAnsi="Times New Roman;serif"/>
                  <w:b w:val="false"/>
                  <w:color w:val="000080"/>
                  <w:sz w:val="20"/>
                  <w:u w:val="single"/>
                </w:rPr>
                <w:t xml:space="preserve">Consolidated Balance Sheets as of </w:t>
              </w:r>
            </w:hyperlink>
            <w:hyperlink w:anchor="i8530b34a011045e7bbaef04afaefd68a_19">
              <w:r>
                <w:rPr>
                  <w:rStyle w:val="InternetLink"/>
                  <w:rFonts w:ascii="Times New Roman;serif" w:hAnsi="Times New Roman;serif"/>
                  <w:b w:val="false"/>
                  <w:color w:val="000080"/>
                  <w:sz w:val="20"/>
                  <w:u w:val="single"/>
                </w:rPr>
                <w:t>September 30, 2025</w:t>
              </w:r>
            </w:hyperlink>
            <w:hyperlink w:anchor="i8530b34a011045e7bbaef04afaefd68a_19">
              <w:r>
                <w:rPr>
                  <w:rStyle w:val="InternetLink"/>
                  <w:rFonts w:ascii="Times New Roman;serif" w:hAnsi="Times New Roman;serif"/>
                  <w:b w:val="false"/>
                  <w:color w:val="000080"/>
                  <w:sz w:val="20"/>
                  <w:u w:val="single"/>
                </w:rPr>
                <w:t xml:space="preserve"> and </w:t>
              </w:r>
            </w:hyperlink>
            <w:hyperlink w:anchor="i8530b34a011045e7bbaef04afaefd68a_19">
              <w:r>
                <w:rPr>
                  <w:rStyle w:val="InternetLink"/>
                  <w:rFonts w:ascii="Times New Roman;serif" w:hAnsi="Times New Roman;serif"/>
                  <w:b w:val="false"/>
                  <w:color w:val="000080"/>
                  <w:sz w:val="20"/>
                  <w:u w:val="single"/>
                </w:rPr>
                <w:t>December 31, 2024</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9">
              <w:r>
                <w:rPr>
                  <w:rStyle w:val="InternetLink"/>
                  <w:rFonts w:ascii="Times New Roman;serif" w:hAnsi="Times New Roman;serif"/>
                  <w:b w:val="false"/>
                  <w:color w:val="0000FF"/>
                  <w:sz w:val="20"/>
                  <w:u w:val="single"/>
                </w:rPr>
                <w:t>1</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22">
              <w:r>
                <w:rPr>
                  <w:rStyle w:val="InternetLink"/>
                  <w:rFonts w:ascii="Times New Roman;serif" w:hAnsi="Times New Roman;serif"/>
                  <w:b w:val="false"/>
                  <w:color w:val="000080"/>
                  <w:sz w:val="20"/>
                  <w:u w:val="single"/>
                </w:rPr>
                <w:t xml:space="preserve">Consolidated Statements of Operations for the </w:t>
              </w:r>
            </w:hyperlink>
            <w:hyperlink w:anchor="i8530b34a011045e7bbaef04afaefd68a_22">
              <w:r>
                <w:rPr>
                  <w:rStyle w:val="InternetLink"/>
                  <w:rFonts w:ascii="Times New Roman;serif" w:hAnsi="Times New Roman;serif"/>
                  <w:b w:val="false"/>
                  <w:color w:val="000080"/>
                  <w:sz w:val="20"/>
                  <w:u w:val="single"/>
                </w:rPr>
                <w:t>Three and Nine</w:t>
              </w:r>
            </w:hyperlink>
            <w:hyperlink w:anchor="i8530b34a011045e7bbaef04afaefd68a_22">
              <w:r>
                <w:rPr>
                  <w:rStyle w:val="InternetLink"/>
                  <w:rFonts w:ascii="Times New Roman;serif" w:hAnsi="Times New Roman;serif"/>
                  <w:b w:val="false"/>
                  <w:color w:val="000080"/>
                  <w:sz w:val="20"/>
                  <w:u w:val="single"/>
                </w:rPr>
                <w:t xml:space="preserve"> Months Ended </w:t>
              </w:r>
            </w:hyperlink>
            <w:hyperlink w:anchor="i8530b34a011045e7bbaef04afaefd68a_22">
              <w:r>
                <w:rPr>
                  <w:rStyle w:val="InternetLink"/>
                  <w:rFonts w:ascii="Times New Roman;serif" w:hAnsi="Times New Roman;serif"/>
                  <w:b w:val="false"/>
                  <w:color w:val="000080"/>
                  <w:sz w:val="20"/>
                  <w:u w:val="single"/>
                </w:rPr>
                <w:t>September 30, 2025</w:t>
              </w:r>
            </w:hyperlink>
            <w:hyperlink w:anchor="i8530b34a011045e7bbaef04afaefd68a_22">
              <w:r>
                <w:rPr>
                  <w:rStyle w:val="InternetLink"/>
                  <w:rFonts w:ascii="Times New Roman;serif" w:hAnsi="Times New Roman;serif"/>
                  <w:b w:val="false"/>
                  <w:color w:val="000080"/>
                  <w:sz w:val="20"/>
                  <w:u w:val="single"/>
                </w:rPr>
                <w:t xml:space="preserve"> and </w:t>
              </w:r>
            </w:hyperlink>
            <w:hyperlink w:anchor="i8530b34a011045e7bbaef04afaefd68a_22">
              <w:r>
                <w:rPr>
                  <w:rStyle w:val="InternetLink"/>
                  <w:rFonts w:ascii="Times New Roman;serif" w:hAnsi="Times New Roman;serif"/>
                  <w:b w:val="false"/>
                  <w:color w:val="000080"/>
                  <w:sz w:val="20"/>
                  <w:u w:val="single"/>
                </w:rPr>
                <w:t>2024</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22">
              <w:r>
                <w:rPr>
                  <w:rStyle w:val="InternetLink"/>
                  <w:rFonts w:ascii="Times New Roman;serif" w:hAnsi="Times New Roman;serif"/>
                  <w:b w:val="false"/>
                  <w:color w:val="0000FF"/>
                  <w:sz w:val="20"/>
                  <w:u w:val="single"/>
                </w:rPr>
                <w:t>3</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25">
              <w:r>
                <w:rPr>
                  <w:rStyle w:val="InternetLink"/>
                  <w:rFonts w:ascii="Times New Roman;serif" w:hAnsi="Times New Roman;serif"/>
                  <w:b w:val="false"/>
                  <w:color w:val="000080"/>
                  <w:sz w:val="20"/>
                  <w:u w:val="single"/>
                </w:rPr>
                <w:t xml:space="preserve">Consolidated Statements of Comprehensive </w:t>
              </w:r>
            </w:hyperlink>
            <w:hyperlink w:anchor="i8530b34a011045e7bbaef04afaefd68a_25">
              <w:r>
                <w:rPr>
                  <w:rStyle w:val="InternetLink"/>
                  <w:rFonts w:ascii="Times New Roman;serif" w:hAnsi="Times New Roman;serif"/>
                  <w:b w:val="false"/>
                  <w:color w:val="000080"/>
                  <w:sz w:val="20"/>
                  <w:u w:val="single"/>
                </w:rPr>
                <w:t>Income (</w:t>
              </w:r>
            </w:hyperlink>
            <w:hyperlink w:anchor="i8530b34a011045e7bbaef04afaefd68a_25">
              <w:r>
                <w:rPr>
                  <w:rStyle w:val="InternetLink"/>
                  <w:rFonts w:ascii="Times New Roman;serif" w:hAnsi="Times New Roman;serif"/>
                  <w:b w:val="false"/>
                  <w:color w:val="000080"/>
                  <w:sz w:val="20"/>
                  <w:u w:val="single"/>
                </w:rPr>
                <w:t>Loss</w:t>
              </w:r>
            </w:hyperlink>
            <w:hyperlink w:anchor="i8530b34a011045e7bbaef04afaefd68a_25">
              <w:r>
                <w:rPr>
                  <w:rStyle w:val="InternetLink"/>
                  <w:rFonts w:ascii="Times New Roman;serif" w:hAnsi="Times New Roman;serif"/>
                  <w:b w:val="false"/>
                  <w:color w:val="000080"/>
                  <w:sz w:val="20"/>
                  <w:u w:val="single"/>
                </w:rPr>
                <w:t>)</w:t>
              </w:r>
            </w:hyperlink>
            <w:hyperlink w:anchor="i8530b34a011045e7bbaef04afaefd68a_25">
              <w:r>
                <w:rPr>
                  <w:rStyle w:val="InternetLink"/>
                  <w:rFonts w:ascii="Times New Roman;serif" w:hAnsi="Times New Roman;serif"/>
                  <w:b w:val="false"/>
                  <w:color w:val="000080"/>
                  <w:sz w:val="20"/>
                  <w:u w:val="single"/>
                </w:rPr>
                <w:t xml:space="preserve"> for the </w:t>
              </w:r>
            </w:hyperlink>
            <w:hyperlink w:anchor="i8530b34a011045e7bbaef04afaefd68a_25">
              <w:r>
                <w:rPr>
                  <w:rStyle w:val="InternetLink"/>
                  <w:rFonts w:ascii="Times New Roman;serif" w:hAnsi="Times New Roman;serif"/>
                  <w:b w:val="false"/>
                  <w:color w:val="000080"/>
                  <w:sz w:val="20"/>
                  <w:u w:val="single"/>
                </w:rPr>
                <w:t>Three and Nine</w:t>
              </w:r>
            </w:hyperlink>
            <w:hyperlink w:anchor="i8530b34a011045e7bbaef04afaefd68a_25">
              <w:r>
                <w:rPr>
                  <w:rStyle w:val="InternetLink"/>
                  <w:rFonts w:ascii="Times New Roman;serif" w:hAnsi="Times New Roman;serif"/>
                  <w:b w:val="false"/>
                  <w:color w:val="000080"/>
                  <w:sz w:val="20"/>
                  <w:u w:val="single"/>
                </w:rPr>
                <w:t xml:space="preserve"> Months Ended </w:t>
              </w:r>
            </w:hyperlink>
            <w:hyperlink w:anchor="i8530b34a011045e7bbaef04afaefd68a_25">
              <w:r>
                <w:rPr>
                  <w:rStyle w:val="InternetLink"/>
                  <w:rFonts w:ascii="Times New Roman;serif" w:hAnsi="Times New Roman;serif"/>
                  <w:b w:val="false"/>
                  <w:color w:val="000080"/>
                  <w:sz w:val="20"/>
                  <w:u w:val="single"/>
                </w:rPr>
                <w:t>September 30, 2025</w:t>
              </w:r>
            </w:hyperlink>
            <w:hyperlink w:anchor="i8530b34a011045e7bbaef04afaefd68a_25">
              <w:r>
                <w:rPr>
                  <w:rStyle w:val="InternetLink"/>
                  <w:rFonts w:ascii="Times New Roman;serif" w:hAnsi="Times New Roman;serif"/>
                  <w:b w:val="false"/>
                  <w:color w:val="000080"/>
                  <w:sz w:val="20"/>
                  <w:u w:val="single"/>
                </w:rPr>
                <w:t xml:space="preserve"> and </w:t>
              </w:r>
            </w:hyperlink>
            <w:hyperlink w:anchor="i8530b34a011045e7bbaef04afaefd68a_25">
              <w:r>
                <w:rPr>
                  <w:rStyle w:val="InternetLink"/>
                  <w:rFonts w:ascii="Times New Roman;serif" w:hAnsi="Times New Roman;serif"/>
                  <w:b w:val="false"/>
                  <w:color w:val="000080"/>
                  <w:sz w:val="20"/>
                  <w:u w:val="single"/>
                </w:rPr>
                <w:t>2024</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25">
              <w:r>
                <w:rPr>
                  <w:rStyle w:val="InternetLink"/>
                  <w:rFonts w:ascii="Times New Roman;serif" w:hAnsi="Times New Roman;serif"/>
                  <w:b w:val="false"/>
                  <w:color w:val="0000FF"/>
                  <w:sz w:val="20"/>
                  <w:u w:val="single"/>
                </w:rPr>
                <w:t>4</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28">
              <w:r>
                <w:rPr>
                  <w:rStyle w:val="InternetLink"/>
                  <w:rFonts w:ascii="Times New Roman;serif" w:hAnsi="Times New Roman;serif"/>
                  <w:b w:val="false"/>
                  <w:color w:val="000080"/>
                  <w:sz w:val="20"/>
                  <w:u w:val="single"/>
                </w:rPr>
                <w:t xml:space="preserve">Consolidated Statements of Changes in Stockholders' Deficit for the </w:t>
              </w:r>
            </w:hyperlink>
            <w:hyperlink w:anchor="i8530b34a011045e7bbaef04afaefd68a_25">
              <w:r>
                <w:rPr>
                  <w:rStyle w:val="InternetLink"/>
                  <w:rFonts w:ascii="Times New Roman;serif" w:hAnsi="Times New Roman;serif"/>
                  <w:b w:val="false"/>
                  <w:color w:val="000080"/>
                  <w:sz w:val="20"/>
                  <w:u w:val="single"/>
                </w:rPr>
                <w:t>Three and Nine</w:t>
              </w:r>
            </w:hyperlink>
            <w:hyperlink w:anchor="i8530b34a011045e7bbaef04afaefd68a_28">
              <w:r>
                <w:rPr>
                  <w:rStyle w:val="InternetLink"/>
                  <w:rFonts w:ascii="Times New Roman;serif" w:hAnsi="Times New Roman;serif"/>
                  <w:b w:val="false"/>
                  <w:color w:val="000080"/>
                  <w:sz w:val="20"/>
                  <w:u w:val="single"/>
                </w:rPr>
                <w:t xml:space="preserve"> Months Ended </w:t>
              </w:r>
            </w:hyperlink>
            <w:hyperlink w:anchor="i8530b34a011045e7bbaef04afaefd68a_25">
              <w:r>
                <w:rPr>
                  <w:rStyle w:val="InternetLink"/>
                  <w:rFonts w:ascii="Times New Roman;serif" w:hAnsi="Times New Roman;serif"/>
                  <w:b w:val="false"/>
                  <w:color w:val="000080"/>
                  <w:sz w:val="20"/>
                  <w:u w:val="single"/>
                </w:rPr>
                <w:t>September 30, 2025</w:t>
              </w:r>
            </w:hyperlink>
            <w:hyperlink w:anchor="i8530b34a011045e7bbaef04afaefd68a_28">
              <w:r>
                <w:rPr>
                  <w:rStyle w:val="InternetLink"/>
                  <w:rFonts w:ascii="Times New Roman;serif" w:hAnsi="Times New Roman;serif"/>
                  <w:b w:val="false"/>
                  <w:color w:val="000080"/>
                  <w:sz w:val="20"/>
                  <w:u w:val="single"/>
                </w:rPr>
                <w:t xml:space="preserve"> and </w:t>
              </w:r>
            </w:hyperlink>
            <w:hyperlink w:anchor="i8530b34a011045e7bbaef04afaefd68a_25">
              <w:r>
                <w:rPr>
                  <w:rStyle w:val="InternetLink"/>
                  <w:rFonts w:ascii="Times New Roman;serif" w:hAnsi="Times New Roman;serif"/>
                  <w:b w:val="false"/>
                  <w:color w:val="000080"/>
                  <w:sz w:val="20"/>
                  <w:u w:val="single"/>
                </w:rPr>
                <w:t>2024</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28">
              <w:r>
                <w:rPr>
                  <w:rStyle w:val="InternetLink"/>
                  <w:rFonts w:ascii="Times New Roman;serif" w:hAnsi="Times New Roman;serif"/>
                  <w:b w:val="false"/>
                  <w:color w:val="0000FF"/>
                  <w:sz w:val="20"/>
                  <w:u w:val="single"/>
                </w:rPr>
                <w:t>5</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31">
              <w:r>
                <w:rPr>
                  <w:rStyle w:val="InternetLink"/>
                  <w:rFonts w:ascii="Times New Roman;serif" w:hAnsi="Times New Roman;serif"/>
                  <w:b w:val="false"/>
                  <w:color w:val="000080"/>
                  <w:sz w:val="20"/>
                  <w:u w:val="single"/>
                </w:rPr>
                <w:t xml:space="preserve">Consolidated Statements of Cash Flows for the </w:t>
              </w:r>
            </w:hyperlink>
            <w:hyperlink w:anchor="i8530b34a011045e7bbaef04afaefd68a_31">
              <w:r>
                <w:rPr>
                  <w:rStyle w:val="InternetLink"/>
                  <w:rFonts w:ascii="Times New Roman;serif" w:hAnsi="Times New Roman;serif"/>
                  <w:b w:val="false"/>
                  <w:color w:val="000080"/>
                  <w:sz w:val="20"/>
                  <w:u w:val="single"/>
                </w:rPr>
                <w:t>Three and Nine</w:t>
              </w:r>
            </w:hyperlink>
            <w:hyperlink w:anchor="i8530b34a011045e7bbaef04afaefd68a_31">
              <w:r>
                <w:rPr>
                  <w:rStyle w:val="InternetLink"/>
                  <w:rFonts w:ascii="Times New Roman;serif" w:hAnsi="Times New Roman;serif"/>
                  <w:b w:val="false"/>
                  <w:color w:val="000080"/>
                  <w:sz w:val="20"/>
                  <w:u w:val="single"/>
                </w:rPr>
                <w:t xml:space="preserve"> Months Ended </w:t>
              </w:r>
            </w:hyperlink>
            <w:hyperlink w:anchor="i8530b34a011045e7bbaef04afaefd68a_31">
              <w:r>
                <w:rPr>
                  <w:rStyle w:val="InternetLink"/>
                  <w:rFonts w:ascii="Times New Roman;serif" w:hAnsi="Times New Roman;serif"/>
                  <w:b w:val="false"/>
                  <w:color w:val="000080"/>
                  <w:sz w:val="20"/>
                  <w:u w:val="single"/>
                </w:rPr>
                <w:t>September 30, 2025</w:t>
              </w:r>
            </w:hyperlink>
            <w:hyperlink w:anchor="i8530b34a011045e7bbaef04afaefd68a_31">
              <w:r>
                <w:rPr>
                  <w:rStyle w:val="InternetLink"/>
                  <w:rFonts w:ascii="Times New Roman;serif" w:hAnsi="Times New Roman;serif"/>
                  <w:b w:val="false"/>
                  <w:color w:val="000080"/>
                  <w:sz w:val="20"/>
                  <w:u w:val="single"/>
                </w:rPr>
                <w:t xml:space="preserve"> and </w:t>
              </w:r>
            </w:hyperlink>
            <w:hyperlink w:anchor="i8530b34a011045e7bbaef04afaefd68a_31">
              <w:r>
                <w:rPr>
                  <w:rStyle w:val="InternetLink"/>
                  <w:rFonts w:ascii="Times New Roman;serif" w:hAnsi="Times New Roman;serif"/>
                  <w:b w:val="false"/>
                  <w:color w:val="000080"/>
                  <w:sz w:val="20"/>
                  <w:u w:val="single"/>
                </w:rPr>
                <w:t>2024</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31">
              <w:r>
                <w:rPr>
                  <w:rStyle w:val="InternetLink"/>
                  <w:rFonts w:ascii="Times New Roman;serif" w:hAnsi="Times New Roman;serif"/>
                  <w:b w:val="false"/>
                  <w:color w:val="0000FF"/>
                  <w:sz w:val="20"/>
                  <w:u w:val="single"/>
                </w:rPr>
                <w:t>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34">
              <w:r>
                <w:rPr>
                  <w:rStyle w:val="InternetLink"/>
                  <w:rFonts w:ascii="Times New Roman;serif" w:hAnsi="Times New Roman;serif"/>
                  <w:b w:val="false"/>
                  <w:color w:val="0000FF"/>
                  <w:sz w:val="20"/>
                  <w:u w:val="single"/>
                </w:rPr>
                <w:t>Notes to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34">
              <w:r>
                <w:rPr>
                  <w:rStyle w:val="InternetLink"/>
                  <w:rFonts w:ascii="Times New Roman;serif" w:hAnsi="Times New Roman;serif"/>
                  <w:b w:val="false"/>
                  <w:color w:val="0000FF"/>
                  <w:sz w:val="20"/>
                  <w:u w:val="single"/>
                </w:rPr>
                <w:t>9</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76">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76">
              <w:r>
                <w:rPr>
                  <w:rStyle w:val="InternetLink"/>
                  <w:rFonts w:ascii="Times New Roman;serif" w:hAnsi="Times New Roman;serif"/>
                  <w:b w:val="false"/>
                  <w:color w:val="0000FF"/>
                  <w:sz w:val="20"/>
                  <w:u w:val="single"/>
                </w:rPr>
                <w:t>22</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00">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00">
              <w:r>
                <w:rPr>
                  <w:rStyle w:val="InternetLink"/>
                  <w:rFonts w:ascii="Times New Roman;serif" w:hAnsi="Times New Roman;serif"/>
                  <w:b w:val="false"/>
                  <w:color w:val="0000FF"/>
                  <w:sz w:val="20"/>
                  <w:u w:val="single"/>
                </w:rPr>
                <w:t>Quantitative and Qualitative Disclosure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00">
              <w:r>
                <w:rPr>
                  <w:rStyle w:val="InternetLink"/>
                  <w:rFonts w:ascii="Times New Roman;serif" w:hAnsi="Times New Roman;serif"/>
                  <w:b w:val="false"/>
                  <w:color w:val="0000FF"/>
                  <w:sz w:val="20"/>
                  <w:u w:val="single"/>
                </w:rPr>
                <w:t>35</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03">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03">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03">
              <w:r>
                <w:rPr>
                  <w:rStyle w:val="InternetLink"/>
                  <w:rFonts w:ascii="Times New Roman;serif" w:hAnsi="Times New Roman;serif"/>
                  <w:b w:val="false"/>
                  <w:color w:val="0000FF"/>
                  <w:sz w:val="20"/>
                  <w:u w:val="single"/>
                </w:rPr>
                <w:t>36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0b34a011045e7bbaef04afaefd68a_106">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09">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09">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09">
              <w:r>
                <w:rPr>
                  <w:rStyle w:val="InternetLink"/>
                  <w:rFonts w:ascii="Times New Roman;serif" w:hAnsi="Times New Roman;serif"/>
                  <w:b w:val="false"/>
                  <w:color w:val="0000FF"/>
                  <w:sz w:val="20"/>
                  <w:u w:val="single"/>
                </w:rPr>
                <w:t>37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12">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12">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12">
              <w:r>
                <w:rPr>
                  <w:rStyle w:val="InternetLink"/>
                  <w:rFonts w:ascii="Times New Roman;serif" w:hAnsi="Times New Roman;serif"/>
                  <w:b w:val="false"/>
                  <w:color w:val="0000FF"/>
                  <w:sz w:val="20"/>
                  <w:u w:val="single"/>
                </w:rPr>
                <w:t>37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15">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15">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15">
              <w:r>
                <w:rPr>
                  <w:rStyle w:val="InternetLink"/>
                  <w:rFonts w:ascii="Times New Roman;serif" w:hAnsi="Times New Roman;serif"/>
                  <w:b w:val="false"/>
                  <w:color w:val="0000FF"/>
                  <w:sz w:val="20"/>
                  <w:u w:val="single"/>
                </w:rPr>
                <w:t>37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24">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24">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24">
              <w:r>
                <w:rPr>
                  <w:rStyle w:val="InternetLink"/>
                  <w:rFonts w:ascii="Times New Roman;serif" w:hAnsi="Times New Roman;serif"/>
                  <w:b w:val="false"/>
                  <w:color w:val="0000FF"/>
                  <w:sz w:val="20"/>
                  <w:u w:val="single"/>
                </w:rPr>
                <w:t>40</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0b34a011045e7bbaef04afaefd68a_127">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30b34a011045e7bbaef04afaefd68a_127">
              <w:r>
                <w:rPr>
                  <w:rStyle w:val="InternetLink"/>
                  <w:rFonts w:ascii="Times New Roman;serif" w:hAnsi="Times New Roman;serif"/>
                  <w:b w:val="false"/>
                  <w:color w:val="0000FF"/>
                  <w:sz w:val="20"/>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2024, in “Item 1A. Risk Factors” in Part II of this Quarterly Report on Form 10-Q and in any subsequent filing we make with the Securities and Exchange Commission ("SEC"), as well as in any documents incorporated by reference that describe risks and factors that could cause results to differ materially from those projected in these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Moreover, we operate in a very competitive and dynamic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5"/>
        <w:gridCol w:w="1974"/>
        <w:gridCol w:w="1939"/>
        <w:gridCol w:w="285"/>
        <w:gridCol w:w="1322"/>
        <w:gridCol w:w="147"/>
        <w:gridCol w:w="127"/>
        <w:gridCol w:w="127"/>
        <w:gridCol w:w="127"/>
        <w:gridCol w:w="279"/>
        <w:gridCol w:w="1295"/>
        <w:gridCol w:w="208"/>
      </w:tblGrid>
      <w:tr>
        <w:trPr/>
        <w:tc>
          <w:tcPr>
            <w:tcW w:w="2375"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$969 and $1,220 at September 30, 2025 and December 31, 2024, respectively</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1,092,268 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1,048,242 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1,411,311 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1,368,469 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92"/>
        <w:gridCol w:w="2106"/>
        <w:gridCol w:w="2109"/>
        <w:gridCol w:w="260"/>
        <w:gridCol w:w="1205"/>
        <w:gridCol w:w="134"/>
        <w:gridCol w:w="121"/>
        <w:gridCol w:w="121"/>
        <w:gridCol w:w="121"/>
        <w:gridCol w:w="256"/>
        <w:gridCol w:w="1187"/>
        <w:gridCol w:w="193"/>
      </w:tblGrid>
      <w:tr>
        <w:trPr/>
        <w:tc>
          <w:tcPr>
            <w:tcW w:w="239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6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692,453 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592,425 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1,448,238 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1,410,153 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 1,000,000,000 shares authorized, 52,309,787 and 51,646,053 shares issued and outstanding at September 30, 2025 and December 31, 2024, respectively</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per share, 500,000,000 shares authorized, 3,695,583 and 3,845,583 shares issued and outstanding at September 30, 2025 and December 31, 2024, respectively</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100,000,000 shares authorized, no shares issued and outstanding</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(707,683)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1,411,311 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1,368,469 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04"/>
        <w:gridCol w:w="1224"/>
        <w:gridCol w:w="1233"/>
        <w:gridCol w:w="246"/>
        <w:gridCol w:w="959"/>
        <w:gridCol w:w="126"/>
        <w:gridCol w:w="126"/>
        <w:gridCol w:w="126"/>
        <w:gridCol w:w="126"/>
        <w:gridCol w:w="246"/>
        <w:gridCol w:w="959"/>
        <w:gridCol w:w="126"/>
        <w:gridCol w:w="109"/>
        <w:gridCol w:w="109"/>
        <w:gridCol w:w="109"/>
        <w:gridCol w:w="236"/>
        <w:gridCol w:w="921"/>
        <w:gridCol w:w="121"/>
        <w:gridCol w:w="121"/>
        <w:gridCol w:w="121"/>
        <w:gridCol w:w="121"/>
        <w:gridCol w:w="236"/>
        <w:gridCol w:w="921"/>
        <w:gridCol w:w="179"/>
      </w:tblGrid>
      <w:tr>
        <w:trPr/>
        <w:tc>
          <w:tcPr>
            <w:tcW w:w="140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126,366 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55,581,841 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56,224,079 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55,226,254 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58,184,796 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55,581,841 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56,224,079 </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55,226,254 </w:t>
            </w:r>
          </w:p>
        </w:tc>
        <w:tc>
          <w:tcPr>
            <w:tcW w:w="1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376"/>
        <w:gridCol w:w="1196"/>
        <w:gridCol w:w="1194"/>
        <w:gridCol w:w="266"/>
        <w:gridCol w:w="780"/>
        <w:gridCol w:w="137"/>
        <w:gridCol w:w="137"/>
        <w:gridCol w:w="137"/>
        <w:gridCol w:w="137"/>
        <w:gridCol w:w="266"/>
        <w:gridCol w:w="1005"/>
        <w:gridCol w:w="137"/>
        <w:gridCol w:w="127"/>
        <w:gridCol w:w="127"/>
        <w:gridCol w:w="127"/>
        <w:gridCol w:w="247"/>
        <w:gridCol w:w="929"/>
        <w:gridCol w:w="127"/>
        <w:gridCol w:w="127"/>
        <w:gridCol w:w="127"/>
        <w:gridCol w:w="127"/>
        <w:gridCol w:w="247"/>
        <w:gridCol w:w="929"/>
        <w:gridCol w:w="196"/>
      </w:tblGrid>
      <w:tr>
        <w:trPr/>
        <w:tc>
          <w:tcPr>
            <w:tcW w:w="137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securities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7"/>
        <w:gridCol w:w="459"/>
        <w:gridCol w:w="462"/>
        <w:gridCol w:w="323"/>
        <w:gridCol w:w="323"/>
        <w:gridCol w:w="186"/>
        <w:gridCol w:w="120"/>
        <w:gridCol w:w="120"/>
        <w:gridCol w:w="120"/>
        <w:gridCol w:w="264"/>
        <w:gridCol w:w="364"/>
        <w:gridCol w:w="120"/>
        <w:gridCol w:w="109"/>
        <w:gridCol w:w="109"/>
        <w:gridCol w:w="109"/>
        <w:gridCol w:w="249"/>
        <w:gridCol w:w="938"/>
        <w:gridCol w:w="140"/>
        <w:gridCol w:w="109"/>
        <w:gridCol w:w="109"/>
        <w:gridCol w:w="109"/>
        <w:gridCol w:w="339"/>
        <w:gridCol w:w="988"/>
        <w:gridCol w:w="189"/>
        <w:gridCol w:w="109"/>
        <w:gridCol w:w="109"/>
        <w:gridCol w:w="109"/>
        <w:gridCol w:w="205"/>
        <w:gridCol w:w="798"/>
        <w:gridCol w:w="114"/>
        <w:gridCol w:w="109"/>
        <w:gridCol w:w="109"/>
        <w:gridCol w:w="109"/>
        <w:gridCol w:w="240"/>
        <w:gridCol w:w="811"/>
        <w:gridCol w:w="198"/>
      </w:tblGrid>
      <w:tr>
        <w:trPr/>
        <w:tc>
          <w:tcPr>
            <w:tcW w:w="8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DEFICIT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(unaudited)</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(707,683)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655,377 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(66,528)</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0"/>
        <w:gridCol w:w="571"/>
        <w:gridCol w:w="573"/>
        <w:gridCol w:w="339"/>
        <w:gridCol w:w="339"/>
        <w:gridCol w:w="114"/>
        <w:gridCol w:w="114"/>
        <w:gridCol w:w="114"/>
        <w:gridCol w:w="114"/>
        <w:gridCol w:w="253"/>
        <w:gridCol w:w="347"/>
        <w:gridCol w:w="114"/>
        <w:gridCol w:w="109"/>
        <w:gridCol w:w="109"/>
        <w:gridCol w:w="109"/>
        <w:gridCol w:w="250"/>
        <w:gridCol w:w="943"/>
        <w:gridCol w:w="140"/>
        <w:gridCol w:w="109"/>
        <w:gridCol w:w="109"/>
        <w:gridCol w:w="109"/>
        <w:gridCol w:w="344"/>
        <w:gridCol w:w="1004"/>
        <w:gridCol w:w="192"/>
        <w:gridCol w:w="109"/>
        <w:gridCol w:w="109"/>
        <w:gridCol w:w="109"/>
        <w:gridCol w:w="206"/>
        <w:gridCol w:w="801"/>
        <w:gridCol w:w="114"/>
        <w:gridCol w:w="109"/>
        <w:gridCol w:w="109"/>
        <w:gridCol w:w="109"/>
        <w:gridCol w:w="241"/>
        <w:gridCol w:w="817"/>
        <w:gridCol w:w="203"/>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September 30, 2025</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701,895 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2023</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562,942 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(89,390)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2024</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584,752 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(83,156)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2024</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608,804 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(77,747)</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September 30, 2024</w:t>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645,083 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(698,868)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(50,810)</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79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87"/>
        <w:gridCol w:w="1356"/>
        <w:gridCol w:w="1365"/>
        <w:gridCol w:w="249"/>
        <w:gridCol w:w="710"/>
        <w:gridCol w:w="125"/>
        <w:gridCol w:w="125"/>
        <w:gridCol w:w="125"/>
        <w:gridCol w:w="125"/>
        <w:gridCol w:w="243"/>
        <w:gridCol w:w="890"/>
        <w:gridCol w:w="125"/>
        <w:gridCol w:w="109"/>
        <w:gridCol w:w="109"/>
        <w:gridCol w:w="109"/>
        <w:gridCol w:w="227"/>
        <w:gridCol w:w="830"/>
        <w:gridCol w:w="117"/>
        <w:gridCol w:w="117"/>
        <w:gridCol w:w="117"/>
        <w:gridCol w:w="117"/>
        <w:gridCol w:w="227"/>
        <w:gridCol w:w="830"/>
        <w:gridCol w:w="171"/>
      </w:tblGrid>
      <w:tr>
        <w:trPr/>
        <w:tc>
          <w:tcPr>
            <w:tcW w:w="168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(recovery of) doubtful accounts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(313,271)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marketable securities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5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(58,496)</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1"/>
        <w:gridCol w:w="1284"/>
        <w:gridCol w:w="1293"/>
        <w:gridCol w:w="223"/>
        <w:gridCol w:w="876"/>
        <w:gridCol w:w="115"/>
        <w:gridCol w:w="115"/>
        <w:gridCol w:w="115"/>
        <w:gridCol w:w="115"/>
        <w:gridCol w:w="223"/>
        <w:gridCol w:w="876"/>
        <w:gridCol w:w="115"/>
        <w:gridCol w:w="109"/>
        <w:gridCol w:w="109"/>
        <w:gridCol w:w="109"/>
        <w:gridCol w:w="220"/>
        <w:gridCol w:w="862"/>
        <w:gridCol w:w="113"/>
        <w:gridCol w:w="113"/>
        <w:gridCol w:w="113"/>
        <w:gridCol w:w="113"/>
        <w:gridCol w:w="220"/>
        <w:gridCol w:w="862"/>
        <w:gridCol w:w="171"/>
      </w:tblGrid>
      <w:tr>
        <w:trPr/>
        <w:tc>
          <w:tcPr>
            <w:tcW w:w="174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rPr/>
        <w:tc>
          <w:tcPr>
            <w:tcW w:w="4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31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1. Organization and Significant Accounting Policies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Organization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Inc., a Delaware corporation, and its wholly-owned subsidiaries (the “Company” or “we” or “us”), is a leading platform for transparency, accountability, and trust. Finance, accounting, sustainability, risk, and audit teams worldwide rely on Workiva for their mission-critical work. We transform how customers connect data, unify processes, and empower teams in a secure, AI-powered, audit-ready, collaborative platform. Our operational headquarters are located in Ames, Iowa. We also lease office facilities or contract with flexible workspace providers throughout the United States ("U.S"). and internationally.</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Basis of Presentation and 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information presented in the accompanying unaudited consolidated financial statements has been prepared in accordance with U.S. generally accepted accounting principles (“U.S. GAAP”) and in accordance with rules and regulations of the U.S. Securities and Exchange Commission (“SEC”) regarding interim financial reporting. The consolidated balance sheet data as of December 31, 2024 was derived from audited financial statements, but does not include all disclosures required by U.S. GAAP. In the opinion of management, the accompanying unaudited consolidated financial statements reflect all adjustments, consisting primarily of normal recurring accruals, necessary for a fair presentation of our financial position and results of operations. The operating results for the three and nine months ended September 30, 2025 are not necessarily indicative of the results expected for the full year ending December 31, 2025.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Seasonality affects our revenue, expenses and cash flows from operations. Revenue from professional services is generally higher in the first quarter of our calendar year as many of our customers file their Form 10-K in the first calendar quarter. Our sales and marketing expense also has some degree of seasonality. Sales and marketing expenses have historically been higher in the third quarter due to our annual user conference typically held in September. In addition, our operating cash flow may be affected by the timing of employee cash bonus payments during the first and fourth calendar quarters and by the timing of payouts under our commission plans in the first quarter. The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2024 filed with the SEC on February 25,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unaudited consolidated financial statements include the accounts of Workiva Inc. and its wholly-owned subsidiaries. All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consolidated financial statements in conformity with accounting principles generally accepted in the United States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Enactment of the One Big Beautiful Bill Act of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reinstates expensing for domestic research and experimental expenditures, imposes new limitations on interest expense deductibility, and expands disallowed deductions for certain employee remuneration.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OBBB legislation has multiple effective dates, with some provisions taking effect in 2025 and others phased in through 2027. In accordance with Accounting Standards Codification (“ASC”) 740, “Income Taxes,” Workiva has recognized the effects of the OBBB during the current quarter. The new legislation had an immaterial favorable impact on our income tax expense and tax receivable and does not have a material impact on our annual effective tax rate or net deferred tax assets. We will continue to evaluate the future provisions but do not anticipate any material impact to our financial statements.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New Accounting Pronouncements Not Yet Adopted</w:t>
      </w:r>
    </w:p>
    <w:p>
      <w:pPr>
        <w:pStyle w:val="TextBody"/>
        <w:bidi w:val="0"/>
        <w:spacing w:lineRule="auto" w:line="276" w:before="0" w:after="0"/>
        <w:ind w:left="0" w:right="0" w:firstLine="720"/>
        <w:jc w:val="both"/>
        <w:rPr/>
      </w:pPr>
      <w:r>
        <w:rPr>
          <w:rFonts w:ascii="Times New Roman;serif" w:hAnsi="Times New Roman;serif"/>
          <w:b w:val="false"/>
          <w:color w:val="000000"/>
          <w:sz w:val="22"/>
        </w:rPr>
        <w:t xml:space="preserve">In December 2023, the Financial Accounting Standards Board (“FASB”) issued Accounting Standards Update (“ASU”) 2023-09, </w:t>
      </w:r>
      <w:r>
        <w:rPr>
          <w:rFonts w:ascii="Times New Roman;serif" w:hAnsi="Times New Roman;serif"/>
          <w:b w:val="false"/>
          <w:i/>
          <w:color w:val="000000"/>
          <w:sz w:val="22"/>
        </w:rPr>
        <w:t>Income Taxes (Topic 740): Improvements to Income Tax Disclosures</w:t>
      </w:r>
      <w:r>
        <w:rPr>
          <w:rFonts w:ascii="Times New Roman;serif" w:hAnsi="Times New Roman;serif"/>
          <w:b w:val="false"/>
          <w:color w:val="000000"/>
          <w:sz w:val="22"/>
        </w:rPr>
        <w:t>, which expands disclosures in an entity’s income tax rate reconciliation table and regarding cash taxes paid both in the U.S. and foreign jurisdictions. The standard is effective for annual periods beginning after December 15, 2024, with early adoption permitted. Upon adoption we will include additional income tax disclosures as required by the new guidance. The standard will not have an impact on our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and Income - Expense Disaggregation Disclosures (Subtopic 220-40),</w:t>
      </w:r>
      <w:r>
        <w:rPr>
          <w:color w:val="000000"/>
        </w:rPr>
        <w:t xml:space="preserve"> </w:t>
      </w:r>
      <w:r>
        <w:rPr>
          <w:rFonts w:ascii="Times New Roman;serif" w:hAnsi="Times New Roman;serif"/>
          <w:b w:val="false"/>
          <w:color w:val="000000"/>
          <w:sz w:val="22"/>
        </w:rPr>
        <w:t>requiring public business entities (PBEs) to provide disaggregated disclosures of relevant 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In November 2024, the FASB issued ASU 2024-04,</w:t>
      </w:r>
      <w:r>
        <w:rPr>
          <w:color w:val="000000"/>
        </w:rPr>
        <w:t xml:space="preserve"> </w:t>
      </w:r>
      <w:r>
        <w:rPr>
          <w:rFonts w:ascii="Times New Roman;serif" w:hAnsi="Times New Roman;serif"/>
          <w:b w:val="false"/>
          <w:i/>
          <w:color w:val="000000"/>
          <w:sz w:val="22"/>
        </w:rPr>
        <w:t>Induced Conversions of Convertible Debt Instruments,</w:t>
      </w:r>
      <w:r>
        <w:rPr>
          <w:color w:val="000000"/>
        </w:rPr>
        <w:t xml:space="preserve"> </w:t>
      </w:r>
      <w:r>
        <w:rPr>
          <w:rFonts w:ascii="Times New Roman;serif" w:hAnsi="Times New Roman;serif"/>
          <w:b w:val="false"/>
          <w:color w:val="000000"/>
          <w:sz w:val="22"/>
        </w:rPr>
        <w:t>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are assessing the effect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2. Supplemental Consolidated Balance Sheet Information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Accrued Expenses and Other Current Liabilities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 (in thousands):</w:t>
      </w:r>
    </w:p>
    <w:tbl>
      <w:tblPr>
        <w:tblW w:w="7676" w:type="dxa"/>
        <w:jc w:val="left"/>
        <w:tblInd w:w="0" w:type="dxa"/>
        <w:tblLayout w:type="fixed"/>
        <w:tblCellMar>
          <w:top w:w="28" w:type="dxa"/>
          <w:left w:w="28" w:type="dxa"/>
          <w:bottom w:w="28" w:type="dxa"/>
          <w:right w:w="28" w:type="dxa"/>
        </w:tblCellMar>
      </w:tblPr>
      <w:tblGrid>
        <w:gridCol w:w="1042"/>
        <w:gridCol w:w="916"/>
        <w:gridCol w:w="922"/>
        <w:gridCol w:w="411"/>
        <w:gridCol w:w="1611"/>
        <w:gridCol w:w="212"/>
        <w:gridCol w:w="109"/>
        <w:gridCol w:w="109"/>
        <w:gridCol w:w="109"/>
        <w:gridCol w:w="396"/>
        <w:gridCol w:w="1550"/>
        <w:gridCol w:w="289"/>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employee contributions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health insurance claims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liabilities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Cash Equivalents and 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2025,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34"/>
        <w:gridCol w:w="977"/>
        <w:gridCol w:w="174"/>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731,939 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732,987 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192,110 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192,110 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539,829 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540,877 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2024,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98"/>
        <w:gridCol w:w="881"/>
        <w:gridCol w:w="206"/>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661,834 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147,776 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514,060 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contractual maturities of the investments classified as marketable securities are as follows (in thousands):</w:t>
      </w:r>
    </w:p>
    <w:tbl>
      <w:tblPr>
        <w:tblW w:w="4423" w:type="dxa"/>
        <w:jc w:val="left"/>
        <w:tblInd w:w="0" w:type="dxa"/>
        <w:tblLayout w:type="fixed"/>
        <w:tblCellMar>
          <w:top w:w="28" w:type="dxa"/>
          <w:left w:w="28" w:type="dxa"/>
          <w:bottom w:w="28" w:type="dxa"/>
          <w:right w:w="28" w:type="dxa"/>
        </w:tblCellMar>
      </w:tblPr>
      <w:tblGrid>
        <w:gridCol w:w="777"/>
        <w:gridCol w:w="681"/>
        <w:gridCol w:w="686"/>
        <w:gridCol w:w="404"/>
        <w:gridCol w:w="1581"/>
        <w:gridCol w:w="29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three to five years</w:t>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540,877 </w:t>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gross unrealized losses and fair values for those cash equivalents and marketable securities that were in an unrealized loss position as of September 30, 2025, aggregated by investment category and the length of time that individual securities have been in a continuous loss position (in thousands):</w:t>
      </w:r>
    </w:p>
    <w:tbl>
      <w:tblPr>
        <w:tblW w:w="9361" w:type="dxa"/>
        <w:jc w:val="left"/>
        <w:tblInd w:w="0" w:type="dxa"/>
        <w:tblLayout w:type="fixed"/>
        <w:tblCellMar>
          <w:top w:w="28" w:type="dxa"/>
          <w:left w:w="28" w:type="dxa"/>
          <w:bottom w:w="28" w:type="dxa"/>
          <w:right w:w="28" w:type="dxa"/>
        </w:tblCellMar>
      </w:tblPr>
      <w:tblGrid>
        <w:gridCol w:w="1201"/>
        <w:gridCol w:w="1055"/>
        <w:gridCol w:w="1059"/>
        <w:gridCol w:w="211"/>
        <w:gridCol w:w="721"/>
        <w:gridCol w:w="109"/>
        <w:gridCol w:w="109"/>
        <w:gridCol w:w="109"/>
        <w:gridCol w:w="109"/>
        <w:gridCol w:w="445"/>
        <w:gridCol w:w="793"/>
        <w:gridCol w:w="231"/>
        <w:gridCol w:w="109"/>
        <w:gridCol w:w="109"/>
        <w:gridCol w:w="109"/>
        <w:gridCol w:w="211"/>
        <w:gridCol w:w="721"/>
        <w:gridCol w:w="109"/>
        <w:gridCol w:w="109"/>
        <w:gridCol w:w="109"/>
        <w:gridCol w:w="109"/>
        <w:gridCol w:w="430"/>
        <w:gridCol w:w="768"/>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 months or greater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believe the unrealized losses represent credit losses based on our evaluation of available evidence as of September 30, 2025, which includes an assessment of whether it is more likely than not we will be required to sell the investment before recovery of the investment's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2"/>
        </w:rPr>
        <w:t>4.</w:t>
      </w:r>
      <w:r>
        <w:rPr>
          <w:color w:val="000000"/>
        </w:rPr>
        <w:t xml:space="preserve"> </w:t>
      </w:r>
      <w:r>
        <w:rPr>
          <w:rFonts w:ascii="Times New Roman;serif" w:hAnsi="Times New Roman;serif"/>
          <w:b/>
          <w:color w:val="000000"/>
          <w:sz w:val="22"/>
        </w:rPr>
        <w:t xml:space="preserve">Fair Value Measurements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3 - Inputs are unobservable inputs based on our assumptions.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Financial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September 30, 2025,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0"/>
        <w:gridCol w:w="401"/>
        <w:gridCol w:w="402"/>
        <w:gridCol w:w="109"/>
        <w:gridCol w:w="109"/>
        <w:gridCol w:w="109"/>
        <w:gridCol w:w="212"/>
        <w:gridCol w:w="831"/>
        <w:gridCol w:w="109"/>
        <w:gridCol w:w="109"/>
        <w:gridCol w:w="109"/>
        <w:gridCol w:w="109"/>
        <w:gridCol w:w="212"/>
        <w:gridCol w:w="831"/>
        <w:gridCol w:w="109"/>
        <w:gridCol w:w="109"/>
        <w:gridCol w:w="109"/>
        <w:gridCol w:w="109"/>
        <w:gridCol w:w="212"/>
        <w:gridCol w:w="831"/>
        <w:gridCol w:w="109"/>
        <w:gridCol w:w="109"/>
        <w:gridCol w:w="109"/>
        <w:gridCol w:w="109"/>
        <w:gridCol w:w="212"/>
        <w:gridCol w:w="830"/>
        <w:gridCol w:w="109"/>
        <w:gridCol w:w="109"/>
        <w:gridCol w:w="109"/>
        <w:gridCol w:w="109"/>
        <w:gridCol w:w="212"/>
        <w:gridCol w:w="830"/>
        <w:gridCol w:w="109"/>
        <w:gridCol w:w="109"/>
        <w:gridCol w:w="109"/>
        <w:gridCol w:w="109"/>
        <w:gridCol w:w="212"/>
        <w:gridCol w:w="830"/>
        <w:gridCol w:w="170"/>
      </w:tblGrid>
      <w:tr>
        <w:trPr/>
        <w:tc>
          <w:tcPr>
            <w:tcW w:w="4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2024</w:t>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2025, the fair value of our convertible senior notes due in 2026 and 2028 was $85.1 million and $689.4 million, respectively. The fair value was determined based on the quoted price of the convertible senior notes in an over-the-counter market on the last trading day of the reporting period and has been classified as Level 2 in the fair value hierarchy. See Note 5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Price</w:t>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2026 Notes and the 2028 Notes are together referred to as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were issued pursuant to an indenture and are senior, unsecured obligations of the Company. The 2028 Notes will rank equally with all of the Company’s existing and future senior unsecured indebtedness, including the Company’s outstanding 2026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Notes may convert all or a portion of their Notes prior to the close of business on their respective Free Convertibility dates, in multiples of $1,000 principal amount, only under the following circumstances: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 xml:space="preserve">during any calendar quarter commencing after the calendar quarter in which the respective Notes were issued (and only during such calendar quarter), if the last reported sale price of our Class A common stock, par value $0.001 per share, for at least 20 trading days (whether or not consecutive) during a period of 30 consecutive trading days ending on, and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last trading day of the immediately preceding calendar quarter is greater than or equal to 130% of the conversion price on each applicable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upon the occurrence of certain specified corporate events as set forth in the relevant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or after the relevant Free Convertibility Date, holders of the Notes may convert their Notes at any time until the close of business on the second scheduled trading day immediately preceding the maturity date of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2025, the Free Convertibility Date for the 2026 Notes is less than one year from the balance sheet date and therefore the 2026 Notes are classified as current liabilities on the consolidated balance sheet. During the third quarter of 2025 none of the conversion conditions related to our 2028 Notes were met and therefore the 2028 Notes are not convertible at the option of the holders. As a result, the 2028 Notes were classified as non-current liabilities on the consolidated balance sheet as of September 30,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2025, the remaining life of the 2026 Notes and 2028 Notes were approximately 0.8 years and 2.8 years,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Notes was as follows (in thousands):</w:t>
      </w:r>
    </w:p>
    <w:tbl>
      <w:tblPr>
        <w:tblW w:w="7755" w:type="dxa"/>
        <w:jc w:val="left"/>
        <w:tblInd w:w="0" w:type="dxa"/>
        <w:tblLayout w:type="fixed"/>
        <w:tblCellMar>
          <w:top w:w="28" w:type="dxa"/>
          <w:left w:w="28" w:type="dxa"/>
          <w:bottom w:w="28" w:type="dxa"/>
          <w:right w:w="28" w:type="dxa"/>
        </w:tblCellMar>
      </w:tblPr>
      <w:tblGrid>
        <w:gridCol w:w="853"/>
        <w:gridCol w:w="748"/>
        <w:gridCol w:w="7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related to the Notes was as follows (in thousands):</w:t>
      </w:r>
    </w:p>
    <w:tbl>
      <w:tblPr>
        <w:tblW w:w="8959" w:type="dxa"/>
        <w:jc w:val="left"/>
        <w:tblInd w:w="0" w:type="dxa"/>
        <w:tblLayout w:type="fixed"/>
        <w:tblCellMar>
          <w:top w:w="28" w:type="dxa"/>
          <w:left w:w="28" w:type="dxa"/>
          <w:bottom w:w="28" w:type="dxa"/>
          <w:right w:w="28" w:type="dxa"/>
        </w:tblCellMar>
      </w:tblPr>
      <w:tblGrid>
        <w:gridCol w:w="939"/>
        <w:gridCol w:w="825"/>
        <w:gridCol w:w="831"/>
        <w:gridCol w:w="293"/>
        <w:gridCol w:w="857"/>
        <w:gridCol w:w="151"/>
        <w:gridCol w:w="151"/>
        <w:gridCol w:w="151"/>
        <w:gridCol w:w="151"/>
        <w:gridCol w:w="293"/>
        <w:gridCol w:w="857"/>
        <w:gridCol w:w="151"/>
        <w:gridCol w:w="109"/>
        <w:gridCol w:w="109"/>
        <w:gridCol w:w="109"/>
        <w:gridCol w:w="280"/>
        <w:gridCol w:w="819"/>
        <w:gridCol w:w="145"/>
        <w:gridCol w:w="145"/>
        <w:gridCol w:w="145"/>
        <w:gridCol w:w="145"/>
        <w:gridCol w:w="280"/>
        <w:gridCol w:w="819"/>
        <w:gridCol w:w="20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6. Commitments and Contingencies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7. Stock-Based Compensation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Prior to our corporate conversion in December 2014, awards were provided under the 2009 Unit Incentive Plan (“the 2009 Plan”). The 2009 Plan was amended to provide that no further awards will be issued thereunder, and our board of directors and stockholders adopted and approved our 2014 Equity Incentive Plan ("the Plan"). As of December 31, 2024, there were no awards outstanding under the 2009 Plan.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was recorded in the following cost and expense categories consistent with the respective employee or service provider’s related cash compensation (in thousands):</w:t>
      </w:r>
    </w:p>
    <w:tbl>
      <w:tblPr>
        <w:tblW w:w="8676" w:type="dxa"/>
        <w:jc w:val="left"/>
        <w:tblInd w:w="0" w:type="dxa"/>
        <w:tblLayout w:type="fixed"/>
        <w:tblCellMar>
          <w:top w:w="28" w:type="dxa"/>
          <w:left w:w="28" w:type="dxa"/>
          <w:bottom w:w="28" w:type="dxa"/>
          <w:right w:w="28" w:type="dxa"/>
        </w:tblCellMar>
      </w:tblPr>
      <w:tblGrid>
        <w:gridCol w:w="835"/>
        <w:gridCol w:w="736"/>
        <w:gridCol w:w="739"/>
        <w:gridCol w:w="268"/>
        <w:gridCol w:w="916"/>
        <w:gridCol w:w="138"/>
        <w:gridCol w:w="138"/>
        <w:gridCol w:w="138"/>
        <w:gridCol w:w="138"/>
        <w:gridCol w:w="268"/>
        <w:gridCol w:w="916"/>
        <w:gridCol w:w="138"/>
        <w:gridCol w:w="109"/>
        <w:gridCol w:w="109"/>
        <w:gridCol w:w="109"/>
        <w:gridCol w:w="256"/>
        <w:gridCol w:w="877"/>
        <w:gridCol w:w="132"/>
        <w:gridCol w:w="132"/>
        <w:gridCol w:w="132"/>
        <w:gridCol w:w="132"/>
        <w:gridCol w:w="256"/>
        <w:gridCol w:w="877"/>
        <w:gridCol w:w="187"/>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option activity under the Plan for the nine months ended September 30, 2025: </w:t>
      </w:r>
    </w:p>
    <w:tbl>
      <w:tblPr>
        <w:tblW w:w="7276" w:type="dxa"/>
        <w:jc w:val="left"/>
        <w:tblInd w:w="0" w:type="dxa"/>
        <w:tblLayout w:type="fixed"/>
        <w:tblCellMar>
          <w:top w:w="28" w:type="dxa"/>
          <w:left w:w="28" w:type="dxa"/>
          <w:bottom w:w="28" w:type="dxa"/>
          <w:right w:w="28" w:type="dxa"/>
        </w:tblCellMar>
      </w:tblPr>
      <w:tblGrid>
        <w:gridCol w:w="1081"/>
        <w:gridCol w:w="949"/>
        <w:gridCol w:w="954"/>
        <w:gridCol w:w="449"/>
        <w:gridCol w:w="451"/>
        <w:gridCol w:w="256"/>
        <w:gridCol w:w="109"/>
        <w:gridCol w:w="109"/>
        <w:gridCol w:w="109"/>
        <w:gridCol w:w="220"/>
        <w:gridCol w:w="642"/>
        <w:gridCol w:w="113"/>
        <w:gridCol w:w="109"/>
        <w:gridCol w:w="109"/>
        <w:gridCol w:w="109"/>
        <w:gridCol w:w="414"/>
        <w:gridCol w:w="414"/>
        <w:gridCol w:w="416"/>
        <w:gridCol w:w="109"/>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Restricted Stock Units and Performance Restricted Stock Units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restricted stock unit and performance restricted stock unit activity under the Plan for the nine months ended September 30, 2025:</w:t>
      </w:r>
    </w:p>
    <w:tbl>
      <w:tblPr>
        <w:tblW w:w="6746" w:type="dxa"/>
        <w:jc w:val="left"/>
        <w:tblInd w:w="0" w:type="dxa"/>
        <w:tblLayout w:type="fixed"/>
        <w:tblCellMar>
          <w:top w:w="28" w:type="dxa"/>
          <w:left w:w="28" w:type="dxa"/>
          <w:bottom w:w="28" w:type="dxa"/>
          <w:right w:w="28" w:type="dxa"/>
        </w:tblCellMar>
      </w:tblPr>
      <w:tblGrid>
        <w:gridCol w:w="994"/>
        <w:gridCol w:w="872"/>
        <w:gridCol w:w="879"/>
        <w:gridCol w:w="539"/>
        <w:gridCol w:w="539"/>
        <w:gridCol w:w="541"/>
        <w:gridCol w:w="109"/>
        <w:gridCol w:w="109"/>
        <w:gridCol w:w="109"/>
        <w:gridCol w:w="442"/>
        <w:gridCol w:w="1291"/>
        <w:gridCol w:w="322"/>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2,723,666 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1,551,095 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(235,294)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(957,112)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3,082,355 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During the nine months ended September 30, 2025, in accordance with our Nonqualified Deferred Compensation Plan, recipients of 5,634 shares elected to defer settlement of their vested restricted stock units and 9,375 shares were released from deferral.</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nine months ended September 30, 2025, 227,124 shares of common stock were purchased under the ESPP at a weighted-average price of $60.31 per share, resulting in cash proceeds of $13.7 million.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expense associated with ESPP purchase rights is recognized on a straight-line basis over the vesting period. As of September 30, 2025, there was approximately $1.7 million of total unrecognized compensation expense related to the ESPP, which is expected to be recognized over a weighted-average period of 0.3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Revenue Recognition</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Disaggregation of Revenue</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revenue disaggregated by type of good or service (in thousands):</w:t>
      </w:r>
    </w:p>
    <w:tbl>
      <w:tblPr>
        <w:tblW w:w="8735" w:type="dxa"/>
        <w:jc w:val="left"/>
        <w:tblInd w:w="0" w:type="dxa"/>
        <w:tblLayout w:type="fixed"/>
        <w:tblCellMar>
          <w:top w:w="28" w:type="dxa"/>
          <w:left w:w="28" w:type="dxa"/>
          <w:bottom w:w="28" w:type="dxa"/>
          <w:right w:w="28" w:type="dxa"/>
        </w:tblCellMar>
      </w:tblPr>
      <w:tblGrid>
        <w:gridCol w:w="859"/>
        <w:gridCol w:w="754"/>
        <w:gridCol w:w="756"/>
        <w:gridCol w:w="246"/>
        <w:gridCol w:w="965"/>
        <w:gridCol w:w="127"/>
        <w:gridCol w:w="127"/>
        <w:gridCol w:w="127"/>
        <w:gridCol w:w="127"/>
        <w:gridCol w:w="246"/>
        <w:gridCol w:w="965"/>
        <w:gridCol w:w="127"/>
        <w:gridCol w:w="109"/>
        <w:gridCol w:w="109"/>
        <w:gridCol w:w="109"/>
        <w:gridCol w:w="236"/>
        <w:gridCol w:w="925"/>
        <w:gridCol w:w="122"/>
        <w:gridCol w:w="122"/>
        <w:gridCol w:w="122"/>
        <w:gridCol w:w="122"/>
        <w:gridCol w:w="236"/>
        <w:gridCol w:w="925"/>
        <w:gridCol w:w="172"/>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professional services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recognized $186.2 million and $153.0 million of revenue during the three months ended September 30, 2025 and 2024, respectively, that was included in the deferred revenue balances at the beginning of the respective periods. We recognized $402.4 million and $331.2 million of revenue during the nine months ended September 30, 2025 and 2024, respectively, that was included in the deferred revenue balances at the beginning of the respective periods.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30, 2025, we expect revenue of approximately $1.3 billion to be recognized from remaining performance obligations for subscription contracts. We expect to recognize approximately $700.9 million of these remaining performance obligations over the next 12 months with the balance substantially recognized in the 24 months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Intangible Assets and 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rP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first quarter of the subsequent annual period in which an intangible asset becomes fully amortized, the gross carrying amount and accumulated amortization are removed from the preceding table.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Amortization expense related to intangible assets was $1.7 million and $2.0 million</w:t>
      </w:r>
      <w:r>
        <w:rPr>
          <w:color w:val="000000"/>
        </w:rPr>
        <w:t xml:space="preserve"> </w:t>
      </w:r>
      <w:r>
        <w:rPr>
          <w:rFonts w:ascii="Times New Roman;serif" w:hAnsi="Times New Roman;serif"/>
          <w:b w:val="false"/>
          <w:color w:val="000000"/>
          <w:sz w:val="22"/>
        </w:rPr>
        <w:t>for the three months ended September 30, 2025 and 2024, respectively, and $5.6 million and $4.8 million for the nine months ended September 30, 2025 and 2024,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2025,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9"/>
        <w:gridCol w:w="992"/>
        <w:gridCol w:w="99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changes in the carrying amount of goodwill were as follows (in thousands):</w:t>
      </w:r>
    </w:p>
    <w:tbl>
      <w:tblPr>
        <w:tblW w:w="4625" w:type="dxa"/>
        <w:jc w:val="left"/>
        <w:tblInd w:w="0" w:type="dxa"/>
        <w:tblLayout w:type="fixed"/>
        <w:tblCellMar>
          <w:top w:w="28" w:type="dxa"/>
          <w:left w:w="28" w:type="dxa"/>
          <w:bottom w:w="28" w:type="dxa"/>
          <w:right w:w="28" w:type="dxa"/>
        </w:tblCellMar>
      </w:tblPr>
      <w:tblGrid>
        <w:gridCol w:w="1243"/>
        <w:gridCol w:w="1092"/>
        <w:gridCol w:w="109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Net Income (Loss) Per Share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 income (loss) per share is allocated based on the contractual participation rights of the Class A and Class B common shares as if the income (loss) for the year has been distributed. As the liquidation and dividend rights are identical, net income (loss) is allocated on a proportionate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denominator used in the calculation of basic and diluted income (loss) per share is as follows (in thousands, except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9445" w:type="dxa"/>
        <w:jc w:val="left"/>
        <w:tblInd w:w="0" w:type="dxa"/>
        <w:tblLayout w:type="fixed"/>
        <w:tblCellMar>
          <w:top w:w="28" w:type="dxa"/>
          <w:left w:w="28" w:type="dxa"/>
          <w:bottom w:w="28" w:type="dxa"/>
          <w:right w:w="28" w:type="dxa"/>
        </w:tblCellMar>
      </w:tblPr>
      <w:tblGrid>
        <w:gridCol w:w="1398"/>
        <w:gridCol w:w="1231"/>
        <w:gridCol w:w="1240"/>
        <w:gridCol w:w="275"/>
        <w:gridCol w:w="806"/>
        <w:gridCol w:w="109"/>
        <w:gridCol w:w="109"/>
        <w:gridCol w:w="109"/>
        <w:gridCol w:w="109"/>
        <w:gridCol w:w="285"/>
        <w:gridCol w:w="691"/>
        <w:gridCol w:w="109"/>
        <w:gridCol w:w="109"/>
        <w:gridCol w:w="109"/>
        <w:gridCol w:w="109"/>
        <w:gridCol w:w="240"/>
        <w:gridCol w:w="841"/>
        <w:gridCol w:w="109"/>
        <w:gridCol w:w="109"/>
        <w:gridCol w:w="109"/>
        <w:gridCol w:w="109"/>
        <w:gridCol w:w="244"/>
        <w:gridCol w:w="732"/>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convertible notes,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diluted</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used in diluted calculation</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54,250,896 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51,736,258 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676"/>
        <w:gridCol w:w="1473"/>
        <w:gridCol w:w="1479"/>
        <w:gridCol w:w="240"/>
        <w:gridCol w:w="841"/>
        <w:gridCol w:w="109"/>
        <w:gridCol w:w="109"/>
        <w:gridCol w:w="109"/>
        <w:gridCol w:w="109"/>
        <w:gridCol w:w="244"/>
        <w:gridCol w:w="732"/>
        <w:gridCol w:w="109"/>
        <w:gridCol w:w="109"/>
        <w:gridCol w:w="109"/>
        <w:gridCol w:w="109"/>
        <w:gridCol w:w="240"/>
        <w:gridCol w:w="841"/>
        <w:gridCol w:w="109"/>
        <w:gridCol w:w="109"/>
        <w:gridCol w:w="109"/>
        <w:gridCol w:w="109"/>
        <w:gridCol w:w="244"/>
        <w:gridCol w:w="732"/>
        <w:gridCol w:w="155"/>
      </w:tblGrid>
      <w:tr>
        <w:trPr/>
        <w:tc>
          <w:tcPr>
            <w:tcW w:w="167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and diluted net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anti-dilutive securities excluded from the weighted-average shares used to calculate the diluted net income (loss) per common share were as follows:</w:t>
      </w:r>
    </w:p>
    <w:tbl>
      <w:tblPr>
        <w:tblW w:w="10205" w:type="dxa"/>
        <w:jc w:val="left"/>
        <w:tblInd w:w="0" w:type="dxa"/>
        <w:tblLayout w:type="fixed"/>
        <w:tblCellMar>
          <w:top w:w="28" w:type="dxa"/>
          <w:left w:w="28" w:type="dxa"/>
          <w:bottom w:w="28" w:type="dxa"/>
          <w:right w:w="28" w:type="dxa"/>
        </w:tblCellMar>
      </w:tblPr>
      <w:tblGrid>
        <w:gridCol w:w="1357"/>
        <w:gridCol w:w="1178"/>
        <w:gridCol w:w="1181"/>
        <w:gridCol w:w="714"/>
        <w:gridCol w:w="294"/>
        <w:gridCol w:w="208"/>
        <w:gridCol w:w="208"/>
        <w:gridCol w:w="208"/>
        <w:gridCol w:w="208"/>
        <w:gridCol w:w="710"/>
        <w:gridCol w:w="296"/>
        <w:gridCol w:w="222"/>
        <w:gridCol w:w="109"/>
        <w:gridCol w:w="109"/>
        <w:gridCol w:w="109"/>
        <w:gridCol w:w="714"/>
        <w:gridCol w:w="284"/>
        <w:gridCol w:w="199"/>
        <w:gridCol w:w="199"/>
        <w:gridCol w:w="199"/>
        <w:gridCol w:w="199"/>
        <w:gridCol w:w="710"/>
        <w:gridCol w:w="287"/>
        <w:gridCol w:w="303"/>
      </w:tblGrid>
      <w:tr>
        <w:trPr/>
        <w:tc>
          <w:tcPr>
            <w:tcW w:w="135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966,417 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698,901 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966,417 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unvested restricted stock units and performance restricted stock units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2,657,795 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2,657,795 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5,243,238 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Geographic Information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chief operating decision maker is our Chief Executive Officer ("CEO").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geographical region consisted of the following (in thousands):</w:t>
      </w:r>
    </w:p>
    <w:tbl>
      <w:tblPr>
        <w:tblW w:w="9216" w:type="dxa"/>
        <w:jc w:val="left"/>
        <w:tblInd w:w="0" w:type="dxa"/>
        <w:tblLayout w:type="fixed"/>
        <w:tblCellMar>
          <w:top w:w="28" w:type="dxa"/>
          <w:left w:w="28" w:type="dxa"/>
          <w:bottom w:w="28" w:type="dxa"/>
          <w:right w:w="28" w:type="dxa"/>
        </w:tblCellMar>
      </w:tblPr>
      <w:tblGrid>
        <w:gridCol w:w="1033"/>
        <w:gridCol w:w="907"/>
        <w:gridCol w:w="910"/>
        <w:gridCol w:w="246"/>
        <w:gridCol w:w="965"/>
        <w:gridCol w:w="127"/>
        <w:gridCol w:w="127"/>
        <w:gridCol w:w="127"/>
        <w:gridCol w:w="127"/>
        <w:gridCol w:w="246"/>
        <w:gridCol w:w="965"/>
        <w:gridCol w:w="127"/>
        <w:gridCol w:w="109"/>
        <w:gridCol w:w="109"/>
        <w:gridCol w:w="109"/>
        <w:gridCol w:w="236"/>
        <w:gridCol w:w="925"/>
        <w:gridCol w:w="122"/>
        <w:gridCol w:w="122"/>
        <w:gridCol w:w="122"/>
        <w:gridCol w:w="122"/>
        <w:gridCol w:w="236"/>
        <w:gridCol w:w="925"/>
        <w:gridCol w:w="172"/>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revenue</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geography is generally based on the country of the customer as specified in our subscription order. Total Americas revenue attributed to the U.S. was approximately 91% and 92% during the three months ended September 30, 2025 and 2024, respectively, and 92% and 93% during the nine months ended September 30, 2025 and 2024, respectively. No other country represented more than 10% of total revenue during the periods presented.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tbl>
      <w:tblPr>
        <w:tblW w:w="5668" w:type="dxa"/>
        <w:jc w:val="left"/>
        <w:tblInd w:w="0" w:type="dxa"/>
        <w:tblLayout w:type="fixed"/>
        <w:tblCellMar>
          <w:top w:w="28" w:type="dxa"/>
          <w:left w:w="28" w:type="dxa"/>
          <w:bottom w:w="28" w:type="dxa"/>
          <w:right w:w="28" w:type="dxa"/>
        </w:tblCellMar>
      </w:tblPr>
      <w:tblGrid>
        <w:gridCol w:w="315"/>
        <w:gridCol w:w="277"/>
        <w:gridCol w:w="279"/>
        <w:gridCol w:w="453"/>
        <w:gridCol w:w="1548"/>
        <w:gridCol w:w="234"/>
        <w:gridCol w:w="109"/>
        <w:gridCol w:w="109"/>
        <w:gridCol w:w="109"/>
        <w:gridCol w:w="434"/>
        <w:gridCol w:w="1484"/>
        <w:gridCol w:w="31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30,661 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our operations should be read in conjunction with the consolidated financial statements and related notes included elsewhere in this report and in our Annual Report on Form 10-K filed with the Securities and Exchange Commission on February 25, 2025.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2024, in “Item 1A. Risk Factors” in Part II of this Quarterly Report on Form 10-Q and in any subsequent filing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Workiva platform powers transparency, accountability, and trust. Finance, accounting, sustainability, risk, and audit teams from more than 6,500 organizations worldwide, including over 85% of FORTUNE® 1,000 companies, rely on Workiva for their mission-critical work. We transform how customers connect data, unify processes, and empower teams in a secure, audit-ready, AI-powered, collaborative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customers use our platform for more than 100 different use cases, across dozens of vertical industries, we organize our sales and marketing resources into three purpose-built solution groups (financial reporting, sustainability management, and governance, risk and compliance (“GRC”)) focusing primarily on the office of the Chief Financial Officer (“CFO”), Chief Sustainability Officer (“CSO”), and Chief Audit Executive (“CAE”).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in the development of our solutions, infrastructure and sales and marketing to drive long-term growth. Our full-time employee headcount expanded to 2,891 at September 30, 2025 from 2,751 at September 30, 2024, an increase of 5.1%.</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We have achieved significant revenue growth in recent periods. Our revenue grew to $224.2 million and $645.6 million during the three and nine months ended September 30, 2025 from $185.6 million and $538.8 million</w:t>
      </w:r>
      <w:r>
        <w:rPr>
          <w:color w:val="000000"/>
        </w:rPr>
        <w:t xml:space="preserve"> </w:t>
      </w:r>
      <w:r>
        <w:rPr>
          <w:rFonts w:ascii="Times New Roman;serif" w:hAnsi="Times New Roman;serif"/>
          <w:b w:val="false"/>
          <w:color w:val="000000"/>
          <w:sz w:val="22"/>
        </w:rPr>
        <w:t xml:space="preserve">during the three and nine months ended September 30, 2024. We generated net income of $2.8 million and incurred a net loss of $38.0 million during the three and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2"/>
        </w:rPr>
        <w:t>ended September 30, 2025, respectively compared to net losses of $17.0 million and $46.2 million</w:t>
      </w:r>
      <w:r>
        <w:rPr>
          <w:color w:val="000000"/>
        </w:rPr>
        <w:t xml:space="preserve"> </w:t>
      </w:r>
      <w:r>
        <w:rPr>
          <w:rFonts w:ascii="Times New Roman;serif" w:hAnsi="Times New Roman;serif"/>
          <w:b w:val="false"/>
          <w:color w:val="000000"/>
          <w:sz w:val="22"/>
        </w:rPr>
        <w:t>during the three and nine months ended September 30, 2024.</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for future growth and are focused on several key drivers, including focusing on multi-solution adoption by new and existing customers, further developing our partner program, accelerating international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Policy and Regulatory Uncertainty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of our sustainability management solutions have been, and may continue to be, materially impacted by domestic and global policy uncertainties. Shifts in regulatory priorities, market sentiment and legal challenges to sustainability-related rules and regulations are affecting our market expansion opportunities in the U.S. and abroad. For example, the European Union’s Corporate Sustainability Reporting Directive (“CSRD”) standards used to identify and collect sustainability information and data are still developing and uncertain. In particular, the CSRD's "stop-the-clock" directive delayed reporting requirements for Wave 2 and Wave 3 companies. This has delayed compliance obligations and requirements. The extent of this global policy uncertainty, and its potential impact on our growth trajectory, cannot be accurately predicted.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Ongoing regulatory initiatives, including proposed changes to SEC reporting requirements intended to reduce burdens on public companies and enhance the attractiveness of capital markets, such as a potential shift in reporting frequency, could affect the performance of certain of our businesses. These developments may have positive or negative impacts on our business, but the scope and timing of any effects remain uncertain. We continue to monitor regulatory developments and assess potential effects across our business. The full scope of these potential regulatory developments, and their implications for our financial performance, cannot be predicted accurately at this time.</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Effects of Volatility in the IPO/SPAC Markets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U.S., volatility in the public markets has led to a decrease in the number of initial public offerings (“IPOs”) and special-purpose acquisition companies (“SPACs”) since fiscal 2022. New sales of our SEC and capital markets solutions were adversely affected by this decline in the IPO and SPAC markets. Although there has been an increase recently in the number of IPOs in 2025, we continue to expect reduced valuation multiples caused by higher interest rates, inflation, global trade conflicts, the ongoing U.S. government shutdown, and geopolitical instability to continue to create uncertain impacts on the number of IPOs in fiscal year 2025. Whether and to what extent the IPO and SPAC markets will continue to moderate cannot be accurately predicted. </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Generate Growth From Existing Customers.</w:t>
      </w:r>
      <w:r>
        <w:rPr>
          <w:color w:val="000000"/>
        </w:rPr>
        <w:t xml:space="preserve"> </w:t>
      </w:r>
      <w:r>
        <w:rPr>
          <w:rFonts w:ascii="Times New Roman;serif" w:hAnsi="Times New Roman;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Pursue New Customers</w:t>
      </w:r>
      <w:r>
        <w:rPr>
          <w:rFonts w:ascii="Times New Roman;serif" w:hAnsi="Times New Roman;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management reporting. In addition, we market to teams responsible for sustainability management and GRC programs. We intend to continue to build our sales and marketing organization and leverage our brand equity to attract new customers.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Offer More Solutions. </w:t>
      </w:r>
      <w:r>
        <w:rPr>
          <w:rFonts w:ascii="Times New Roman;serif" w:hAnsi="Times New Roman;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together with a strong value proposition and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Expand Across Enterprises. </w:t>
      </w:r>
      <w:r>
        <w:rPr>
          <w:rFonts w:ascii="Times New Roman;serif" w:hAnsi="Times New Roman;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new users, increase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Add Partners.</w:t>
      </w:r>
      <w:r>
        <w:rPr>
          <w:color w:val="000000"/>
        </w:rPr>
        <w:t xml:space="preserve"> </w:t>
      </w:r>
      <w:r>
        <w:rPr>
          <w:rFonts w:ascii="Times New Roman;serif" w:hAnsi="Times New Roman;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Investment in growth</w:t>
      </w:r>
      <w:r>
        <w:rPr>
          <w:rFonts w:ascii="Times New Roman;serif" w:hAnsi="Times New Roman;serif"/>
          <w:b w:val="false"/>
          <w:color w:val="000000"/>
          <w:sz w:val="22"/>
        </w:rPr>
        <w:t>. We plan to continue to invest in the development of our platform, fit-for-purpose solutions and application 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Seasonality.</w:t>
      </w:r>
      <w:r>
        <w:rPr>
          <w:color w:val="000000"/>
        </w:rPr>
        <w:t xml:space="preserve"> </w:t>
      </w:r>
      <w:r>
        <w:rPr>
          <w:rFonts w:ascii="Times New Roman;serif" w:hAnsi="Times New Roman;serif"/>
          <w:b w:val="false"/>
          <w:color w:val="000000"/>
          <w:sz w:val="22"/>
        </w:rPr>
        <w:t>Our revenue from professional services has some degree of seasonality. Many of our customers employ our professional services just before they file their Form 10-K, often in the first calendar quarter. Our sales and marketing expense also has some degree of seasonality. Sales and marketing expenses have historically been higher in the third quarter due to our annual user conference typically held in September. In addition, our operating cash flow may be affected by the timing of employee cash bonus payments during the first and fourth calendar quarters and by the timing of payouts under our commission plans in the first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Performance Indicators</w:t>
      </w:r>
    </w:p>
    <w:tbl>
      <w:tblPr>
        <w:tblW w:w="10205" w:type="dxa"/>
        <w:jc w:val="left"/>
        <w:tblInd w:w="0" w:type="dxa"/>
        <w:tblLayout w:type="fixed"/>
        <w:tblCellMar>
          <w:top w:w="28" w:type="dxa"/>
          <w:left w:w="28" w:type="dxa"/>
          <w:bottom w:w="28" w:type="dxa"/>
          <w:right w:w="28" w:type="dxa"/>
        </w:tblCellMar>
      </w:tblPr>
      <w:tblGrid>
        <w:gridCol w:w="1430"/>
        <w:gridCol w:w="1210"/>
        <w:gridCol w:w="1218"/>
        <w:gridCol w:w="217"/>
        <w:gridCol w:w="851"/>
        <w:gridCol w:w="278"/>
        <w:gridCol w:w="112"/>
        <w:gridCol w:w="112"/>
        <w:gridCol w:w="112"/>
        <w:gridCol w:w="217"/>
        <w:gridCol w:w="851"/>
        <w:gridCol w:w="278"/>
        <w:gridCol w:w="109"/>
        <w:gridCol w:w="109"/>
        <w:gridCol w:w="109"/>
        <w:gridCol w:w="211"/>
        <w:gridCol w:w="826"/>
        <w:gridCol w:w="271"/>
        <w:gridCol w:w="109"/>
        <w:gridCol w:w="109"/>
        <w:gridCol w:w="109"/>
        <w:gridCol w:w="211"/>
        <w:gridCol w:w="826"/>
        <w:gridCol w:w="320"/>
      </w:tblGrid>
      <w:tr>
        <w:trPr/>
        <w:tc>
          <w:tcPr>
            <w:tcW w:w="143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metrics</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total revenue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486,749 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subscription and support revenue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as a percent of total revenue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797" w:type="dxa"/>
        <w:jc w:val="center"/>
        <w:tblInd w:w="0" w:type="dxa"/>
        <w:tblLayout w:type="fixed"/>
        <w:tblCellMar>
          <w:top w:w="28" w:type="dxa"/>
          <w:left w:w="28" w:type="dxa"/>
          <w:bottom w:w="28" w:type="dxa"/>
          <w:right w:w="28" w:type="dxa"/>
        </w:tblCellMar>
      </w:tblPr>
      <w:tblGrid>
        <w:gridCol w:w="1707"/>
        <w:gridCol w:w="1499"/>
        <w:gridCol w:w="1504"/>
        <w:gridCol w:w="245"/>
        <w:gridCol w:w="245"/>
        <w:gridCol w:w="245"/>
        <w:gridCol w:w="191"/>
        <w:gridCol w:w="191"/>
        <w:gridCol w:w="191"/>
        <w:gridCol w:w="224"/>
        <w:gridCol w:w="224"/>
        <w:gridCol w:w="331"/>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metrics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6,541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retention rate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97.5%</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 rate</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113.6%</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$100k+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1,926</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$300k+</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$500k+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bl>
    <w:p>
      <w:pPr>
        <w:pStyle w:val="TextBody"/>
        <w:bidi w:val="0"/>
        <w:spacing w:lineRule="auto" w:line="288" w:before="120" w:after="120"/>
        <w:ind w:left="0" w:right="0" w:firstLine="720"/>
        <w:jc w:val="both"/>
        <w:rPr/>
      </w:pPr>
      <w:r>
        <w:rPr>
          <w:rFonts w:ascii="Times New Roman;serif" w:hAnsi="Times New Roman;serif"/>
          <w:b w:val="false"/>
          <w:i/>
          <w:color w:val="000000"/>
          <w:sz w:val="22"/>
        </w:rPr>
        <w:t>Total customers</w:t>
      </w:r>
      <w:r>
        <w:rPr>
          <w:rFonts w:ascii="Times New Roman;serif" w:hAnsi="Times New Roman;serif"/>
          <w:b w:val="false"/>
          <w:color w:val="000000"/>
          <w:sz w:val="22"/>
        </w:rPr>
        <w:t>. We believe total number of customers is a key indicator of our financial success and future revenue potential. We define a customer as an entity with an active subscription contract as of the measurement date. We define a customer as a separate and distinct buying entity, such as a company, a government institution, or a distinct business unit of a large company that has an active contract with us or one of our partners to access our platforms. Companies with publicly-listed securities account for a majority of our customers. As customers acquired through our Sustain.Life acquisition in 2024 renew their contracts with Workiva, they are added to our customer count above.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Gross retention rate. </w:t>
      </w:r>
      <w:r>
        <w:rPr>
          <w:rFonts w:ascii="Times New Roman;serif" w:hAnsi="Times New Roman;serif"/>
          <w:b w:val="false"/>
          <w:color w:val="000000"/>
          <w:sz w:val="22"/>
        </w:rPr>
        <w:t>Our gross retention rate is based on subscription and support revenue. We calculate our gross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gross retention rate was 97.3% as of September 30, 2025, down marginally from 97.5% as of September 30, 2024.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Net retention rate.</w:t>
      </w:r>
      <w:r>
        <w:rPr>
          <w:color w:val="000000"/>
        </w:rPr>
        <w:t xml:space="preserve"> </w:t>
      </w:r>
      <w:r>
        <w:rPr>
          <w:rFonts w:ascii="Times New Roman;serif" w:hAnsi="Times New Roman;serif"/>
          <w:b w:val="false"/>
          <w:color w:val="000000"/>
          <w:sz w:val="22"/>
        </w:rPr>
        <w:t xml:space="preserve">Our net retention rate is based on subscription and support revenue, and includes revenue from up-selling or cross-selling additional solutions, and pricing changes for existing customers and securing multi-year contract renewals containing periodic pricing term increases.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calculate our net retention rate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net retention rate including add-ons was 113.6% as of the quarter ended September 30, 2025, up from 110.5% as of September 30, 2024.</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Annual contract value</w:t>
      </w:r>
      <w:r>
        <w:rPr>
          <w:rFonts w:ascii="Times New Roman;serif" w:hAnsi="Times New Roman;serif"/>
          <w:b w:val="false"/>
          <w:color w:val="000000"/>
          <w:sz w:val="22"/>
        </w:rPr>
        <w:t>. Our annual contract value (“ACV”) for each customer is calculated by annualizing the subscription and 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tbl>
      <w:tblPr>
        <w:tblW w:w="10205" w:type="dxa"/>
        <w:jc w:val="left"/>
        <w:tblInd w:w="0" w:type="dxa"/>
        <w:tblLayout w:type="fixed"/>
        <w:tblCellMar>
          <w:top w:w="28" w:type="dxa"/>
          <w:left w:w="28" w:type="dxa"/>
          <w:bottom w:w="28" w:type="dxa"/>
          <w:right w:w="28" w:type="dxa"/>
        </w:tblCellMar>
      </w:tblPr>
      <w:tblGrid>
        <w:gridCol w:w="2054"/>
        <w:gridCol w:w="1804"/>
        <w:gridCol w:w="1809"/>
        <w:gridCol w:w="318"/>
        <w:gridCol w:w="208"/>
        <w:gridCol w:w="208"/>
        <w:gridCol w:w="208"/>
        <w:gridCol w:w="208"/>
        <w:gridCol w:w="208"/>
        <w:gridCol w:w="314"/>
        <w:gridCol w:w="208"/>
        <w:gridCol w:w="222"/>
        <w:gridCol w:w="109"/>
        <w:gridCol w:w="109"/>
        <w:gridCol w:w="109"/>
        <w:gridCol w:w="308"/>
        <w:gridCol w:w="199"/>
        <w:gridCol w:w="199"/>
        <w:gridCol w:w="199"/>
        <w:gridCol w:w="199"/>
        <w:gridCol w:w="199"/>
        <w:gridCol w:w="304"/>
        <w:gridCol w:w="199"/>
        <w:gridCol w:w="303"/>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$100k+ as a percent of total subscription and support revenue</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77.6%</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76.1%</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$300k+ as a percent of total subscription and support revenue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35.1%</w:t>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$500k+ as a percent of total subscription and support revenue</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nine months ended September 30, 2025 and 2024, no single customer represented more than 1% 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contracts typically range in length from one year to three years.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Subscription and Support Revenue</w:t>
      </w:r>
      <w:r>
        <w:rPr>
          <w:rFonts w:ascii="Times New Roman;serif" w:hAnsi="Times New Roman;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Professional Services Revenue</w:t>
      </w:r>
      <w:r>
        <w:rPr>
          <w:rFonts w:ascii="Times New Roman;serif" w:hAnsi="Times New Roman;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 from XBRL tagging and consulting services are recognized as the services are performed.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selected consolidated statement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1399"/>
        <w:gridCol w:w="1229"/>
        <w:gridCol w:w="1237"/>
        <w:gridCol w:w="244"/>
        <w:gridCol w:w="960"/>
        <w:gridCol w:w="126"/>
        <w:gridCol w:w="126"/>
        <w:gridCol w:w="126"/>
        <w:gridCol w:w="126"/>
        <w:gridCol w:w="244"/>
        <w:gridCol w:w="960"/>
        <w:gridCol w:w="126"/>
        <w:gridCol w:w="109"/>
        <w:gridCol w:w="109"/>
        <w:gridCol w:w="109"/>
        <w:gridCol w:w="235"/>
        <w:gridCol w:w="921"/>
        <w:gridCol w:w="121"/>
        <w:gridCol w:w="121"/>
        <w:gridCol w:w="121"/>
        <w:gridCol w:w="121"/>
        <w:gridCol w:w="235"/>
        <w:gridCol w:w="921"/>
        <w:gridCol w:w="179"/>
      </w:tblGrid>
      <w:tr>
        <w:trPr/>
        <w:tc>
          <w:tcPr>
            <w:tcW w:w="139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and support</w:t>
            </w:r>
            <w:r>
              <w:rPr>
                <w:rFonts w:ascii="Times New Roman;serif" w:hAnsi="Times New Roman;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3"/>
              </w:rPr>
              <w:t>(1)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126,366 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included in these line items was as follows:</w:t>
      </w:r>
    </w:p>
    <w:tbl>
      <w:tblPr>
        <w:tblW w:w="9816" w:type="dxa"/>
        <w:jc w:val="left"/>
        <w:tblInd w:w="0" w:type="dxa"/>
        <w:tblLayout w:type="fixed"/>
        <w:tblCellMar>
          <w:top w:w="28" w:type="dxa"/>
          <w:left w:w="28" w:type="dxa"/>
          <w:bottom w:w="28" w:type="dxa"/>
          <w:right w:w="28" w:type="dxa"/>
        </w:tblCellMar>
      </w:tblPr>
      <w:tblGrid>
        <w:gridCol w:w="1247"/>
        <w:gridCol w:w="1099"/>
        <w:gridCol w:w="1104"/>
        <w:gridCol w:w="268"/>
        <w:gridCol w:w="916"/>
        <w:gridCol w:w="138"/>
        <w:gridCol w:w="138"/>
        <w:gridCol w:w="138"/>
        <w:gridCol w:w="138"/>
        <w:gridCol w:w="268"/>
        <w:gridCol w:w="916"/>
        <w:gridCol w:w="138"/>
        <w:gridCol w:w="109"/>
        <w:gridCol w:w="109"/>
        <w:gridCol w:w="109"/>
        <w:gridCol w:w="256"/>
        <w:gridCol w:w="877"/>
        <w:gridCol w:w="132"/>
        <w:gridCol w:w="132"/>
        <w:gridCol w:w="132"/>
        <w:gridCol w:w="132"/>
        <w:gridCol w:w="256"/>
        <w:gridCol w:w="877"/>
        <w:gridCol w:w="187"/>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our consolidated statement of operations data as a percentage of revenue for each of the periods indicated:</w:t>
      </w:r>
    </w:p>
    <w:tbl>
      <w:tblPr>
        <w:tblW w:w="10205" w:type="dxa"/>
        <w:jc w:val="left"/>
        <w:tblInd w:w="0" w:type="dxa"/>
        <w:tblLayout w:type="fixed"/>
        <w:tblCellMar>
          <w:top w:w="28" w:type="dxa"/>
          <w:left w:w="28" w:type="dxa"/>
          <w:bottom w:w="28" w:type="dxa"/>
          <w:right w:w="28" w:type="dxa"/>
        </w:tblCellMar>
      </w:tblPr>
      <w:tblGrid>
        <w:gridCol w:w="1321"/>
        <w:gridCol w:w="1152"/>
        <w:gridCol w:w="1161"/>
        <w:gridCol w:w="352"/>
        <w:gridCol w:w="264"/>
        <w:gridCol w:w="590"/>
        <w:gridCol w:w="237"/>
        <w:gridCol w:w="237"/>
        <w:gridCol w:w="237"/>
        <w:gridCol w:w="352"/>
        <w:gridCol w:w="264"/>
        <w:gridCol w:w="590"/>
        <w:gridCol w:w="109"/>
        <w:gridCol w:w="109"/>
        <w:gridCol w:w="109"/>
        <w:gridCol w:w="352"/>
        <w:gridCol w:w="264"/>
        <w:gridCol w:w="559"/>
        <w:gridCol w:w="224"/>
        <w:gridCol w:w="224"/>
        <w:gridCol w:w="224"/>
        <w:gridCol w:w="352"/>
        <w:gridCol w:w="264"/>
        <w:gridCol w:w="658"/>
      </w:tblGrid>
      <w:tr>
        <w:trPr/>
        <w:tc>
          <w:tcPr>
            <w:tcW w:w="132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 xml:space="preserve">Comparison of Three and Nine Months Ended September 30, 2025 and 2024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Revenue</w:t>
      </w:r>
    </w:p>
    <w:tbl>
      <w:tblPr>
        <w:tblW w:w="10205" w:type="dxa"/>
        <w:jc w:val="left"/>
        <w:tblInd w:w="0" w:type="dxa"/>
        <w:tblLayout w:type="fixed"/>
        <w:tblCellMar>
          <w:top w:w="28" w:type="dxa"/>
          <w:left w:w="28" w:type="dxa"/>
          <w:bottom w:w="28" w:type="dxa"/>
          <w:right w:w="28" w:type="dxa"/>
        </w:tblCellMar>
      </w:tblPr>
      <w:tblGrid>
        <w:gridCol w:w="559"/>
        <w:gridCol w:w="493"/>
        <w:gridCol w:w="498"/>
        <w:gridCol w:w="224"/>
        <w:gridCol w:w="880"/>
        <w:gridCol w:w="116"/>
        <w:gridCol w:w="116"/>
        <w:gridCol w:w="116"/>
        <w:gridCol w:w="116"/>
        <w:gridCol w:w="224"/>
        <w:gridCol w:w="880"/>
        <w:gridCol w:w="116"/>
        <w:gridCol w:w="109"/>
        <w:gridCol w:w="109"/>
        <w:gridCol w:w="109"/>
        <w:gridCol w:w="330"/>
        <w:gridCol w:w="330"/>
        <w:gridCol w:w="331"/>
        <w:gridCol w:w="109"/>
        <w:gridCol w:w="109"/>
        <w:gridCol w:w="109"/>
        <w:gridCol w:w="109"/>
        <w:gridCol w:w="220"/>
        <w:gridCol w:w="865"/>
        <w:gridCol w:w="114"/>
        <w:gridCol w:w="114"/>
        <w:gridCol w:w="114"/>
        <w:gridCol w:w="114"/>
        <w:gridCol w:w="220"/>
        <w:gridCol w:w="865"/>
        <w:gridCol w:w="114"/>
        <w:gridCol w:w="109"/>
        <w:gridCol w:w="109"/>
        <w:gridCol w:w="109"/>
        <w:gridCol w:w="303"/>
        <w:gridCol w:w="303"/>
        <w:gridCol w:w="440"/>
      </w:tblGrid>
      <w:tr>
        <w:trPr/>
        <w:tc>
          <w:tcPr>
            <w:tcW w:w="5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6" w:type="dxa"/>
            <w:gridSpan w:val="3"/>
            <w:tcBorders/>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Total revenue increased $38.5 million for the three months ended September 30, 2025 compared to the same quarter a year ago due to a $38.5 million increase in subscription and support revenue. Growth in subscription and support revenue in the third quarter was attributable mainly to strong demand and continued solution expansion across our customer base. Revenue from professional services was relatively flat for the three months ended September 30, 2025 compared to the same quarter a year ago.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Total revenue increased $106.8 million for the nine months ended September 30, 2025 compared to the same period a year ago due primarily to a $106.5 million increase in subscription and support revenue. Growth in subscription and support revenue was attributable mainly to strong demand and continued solution expansion across our customer base. Revenue from professional services increased $0.3 million</w:t>
      </w:r>
      <w:r>
        <w:rPr>
          <w:color w:val="000000"/>
        </w:rPr>
        <w:t xml:space="preserve"> </w:t>
      </w:r>
      <w:r>
        <w:rPr>
          <w:rFonts w:ascii="Times New Roman;serif" w:hAnsi="Times New Roman;serif"/>
          <w:b w:val="false"/>
          <w:color w:val="000000"/>
          <w:sz w:val="22"/>
        </w:rPr>
        <w:t>for the nine months ended September 30, 2025 compared to the same period a year ago. We continue to transition consulting and other services to our partners and expect the revenue growth rate from subscription and support to continue to outpace revenue growth from professional services on an annual basis.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tbl>
      <w:tblPr>
        <w:tblW w:w="10205" w:type="dxa"/>
        <w:jc w:val="left"/>
        <w:tblInd w:w="0" w:type="dxa"/>
        <w:tblLayout w:type="fixed"/>
        <w:tblCellMar>
          <w:top w:w="28" w:type="dxa"/>
          <w:left w:w="28" w:type="dxa"/>
          <w:bottom w:w="28" w:type="dxa"/>
          <w:right w:w="28" w:type="dxa"/>
        </w:tblCellMar>
      </w:tblPr>
      <w:tblGrid>
        <w:gridCol w:w="631"/>
        <w:gridCol w:w="535"/>
        <w:gridCol w:w="449"/>
        <w:gridCol w:w="237"/>
        <w:gridCol w:w="810"/>
        <w:gridCol w:w="122"/>
        <w:gridCol w:w="122"/>
        <w:gridCol w:w="122"/>
        <w:gridCol w:w="122"/>
        <w:gridCol w:w="237"/>
        <w:gridCol w:w="810"/>
        <w:gridCol w:w="122"/>
        <w:gridCol w:w="109"/>
        <w:gridCol w:w="109"/>
        <w:gridCol w:w="109"/>
        <w:gridCol w:w="330"/>
        <w:gridCol w:w="330"/>
        <w:gridCol w:w="331"/>
        <w:gridCol w:w="109"/>
        <w:gridCol w:w="109"/>
        <w:gridCol w:w="109"/>
        <w:gridCol w:w="109"/>
        <w:gridCol w:w="222"/>
        <w:gridCol w:w="872"/>
        <w:gridCol w:w="114"/>
        <w:gridCol w:w="114"/>
        <w:gridCol w:w="114"/>
        <w:gridCol w:w="114"/>
        <w:gridCol w:w="222"/>
        <w:gridCol w:w="872"/>
        <w:gridCol w:w="114"/>
        <w:gridCol w:w="109"/>
        <w:gridCol w:w="109"/>
        <w:gridCol w:w="109"/>
        <w:gridCol w:w="303"/>
        <w:gridCol w:w="303"/>
        <w:gridCol w:w="441"/>
      </w:tblGrid>
      <w:tr>
        <w:trPr/>
        <w:tc>
          <w:tcPr>
            <w:tcW w:w="6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7"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126,366 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$2.7 million during the three months ended September 30, 2025 compared to the same quarter a year ago. Subscription and support cost of revenue increased $3.2 million due primarily to $2.6 million in higher cash-based compensation and benefits costs, $0.5 million of additional stock-based compensation, and a $0.8 million increase in the cost of licensed platform content partially offset by a $0.5 million decrease in travel expense. The increase in compensation was primarily driven by an increase in employee headcount. The increase in the cost of licensed platform content resulted primarily from our continued investment in and support of our platform and solutions. Professional services cost of revenue decreased $0.5 million due primarily to a $0.6 million decrease in cash-based compensation and benefits costs partially offset by an increase of $0.2 million in stock-based compensation as we continue to transition consulting and other services to our partners.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$17.9 million during the nine months ended September 30, 2025 compared to the same period a year ago. Subscription and support cost of revenue increased $16.7 million due primarily to $10.6 million in higher cash-based compensation and benefits costs, $1.9 million of additional stock-based compensation, a $2.2 million increase in the cost of licensed platform content, a $1.0 million increase in intangibles amortization related to Sustain.Life, and a $0.6 million increase in software expense. The increase in compensation was primarily driven by a modest increase in employee headcount. The increases in the cost of licensed platform content and software expense resulted primarily from our continued investment in and support of our platform and solutions. Professional services cost of revenue increased $1.2 million due primarily to $0.3 million in higher cash-based compensation and benefits costs and $0.9 million of additional stock-based compensation. The change in compensation was primarily driven by standard compensation increases for existing headcount partially offset by our continued transition of consulting and other services to our partners.</w:t>
      </w:r>
    </w:p>
    <w:p>
      <w:pPr>
        <w:pStyle w:val="TextBody"/>
        <w:bidi w:val="0"/>
        <w:spacing w:lineRule="auto" w:line="288" w:before="240" w:after="120"/>
        <w:ind w:left="0" w:right="0" w:hanging="180"/>
        <w:jc w:val="both"/>
        <w:rPr>
          <w:rFonts w:ascii="Times New Roman;serif" w:hAnsi="Times New Roman;serif"/>
          <w:b/>
          <w:i/>
          <w:color w:val="000000"/>
          <w:sz w:val="22"/>
        </w:rPr>
      </w:pPr>
      <w:r>
        <w:rPr>
          <w:rFonts w:ascii="Times New Roman;serif" w:hAnsi="Times New Roman;serif"/>
          <w:b/>
          <w:i/>
          <w:color w:val="000000"/>
          <w:sz w:val="22"/>
        </w:rPr>
        <w:t>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1"/>
        <w:gridCol w:w="434"/>
        <w:gridCol w:w="436"/>
        <w:gridCol w:w="222"/>
        <w:gridCol w:w="869"/>
        <w:gridCol w:w="114"/>
        <w:gridCol w:w="114"/>
        <w:gridCol w:w="114"/>
        <w:gridCol w:w="114"/>
        <w:gridCol w:w="222"/>
        <w:gridCol w:w="869"/>
        <w:gridCol w:w="114"/>
        <w:gridCol w:w="109"/>
        <w:gridCol w:w="109"/>
        <w:gridCol w:w="109"/>
        <w:gridCol w:w="330"/>
        <w:gridCol w:w="330"/>
        <w:gridCol w:w="331"/>
        <w:gridCol w:w="109"/>
        <w:gridCol w:w="109"/>
        <w:gridCol w:w="109"/>
        <w:gridCol w:w="109"/>
        <w:gridCol w:w="218"/>
        <w:gridCol w:w="857"/>
        <w:gridCol w:w="113"/>
        <w:gridCol w:w="113"/>
        <w:gridCol w:w="113"/>
        <w:gridCol w:w="113"/>
        <w:gridCol w:w="218"/>
        <w:gridCol w:w="857"/>
        <w:gridCol w:w="113"/>
        <w:gridCol w:w="109"/>
        <w:gridCol w:w="109"/>
        <w:gridCol w:w="109"/>
        <w:gridCol w:w="303"/>
        <w:gridCol w:w="303"/>
        <w:gridCol w:w="440"/>
      </w:tblGrid>
      <w:tr>
        <w:trPr/>
        <w:tc>
          <w:tcPr>
            <w:tcW w:w="7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6" w:type="dxa"/>
            <w:gridSpan w:val="3"/>
            <w:tcBorders/>
          </w:tcPr>
          <w:p>
            <w:pPr>
              <w:pStyle w:val="TableContents"/>
              <w:bidi w:val="0"/>
              <w:spacing w:before="0" w:after="283"/>
              <w:jc w:val="left"/>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551,671 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475,639 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bl>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Research and development expenses increased $3.0 million during the three months ended September 30, 2025 compared to the same quarter a year ago due primarily to $2.8 million in higher cash-based compensation and benefits, $0.9 million of additional stock-based compensation, and a $0.5 million increase in professional service fees partially offset by a $0.5 million decrease in the cost of cloud infrastructure services and a $0.4 million decrease in travel expense. The increase in compensation was primarily driven by an increase in employee headcount. The increase in professional service fees resulted primarily from our continued investment in and support of our platform and solutions.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$17.7 million during the nine months ended September 30, 2025 compared to the same period a year ago due primarily to $13.7 million in higher cash-based compensation and benefits and $3.7 million of additional stock-based compensation. The increase in compensation was primarily driven by a modest increase in employee headcount.</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Sales and Marketing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$11.4 million during the three months ended September 30, 2025 compared to the same quarter a year ago due primarily to $12.7 million in higher cash-based compensation and benefits partially offset by a $0.7 million decrease in travel expense and a $0.5 million decrease in advertising fees. The increase in compensation was primarily due to an increase in employee headcount and our continued investment in our go-to-market activities.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Sales and marketing expenses increased $49.7 million during the nine months ended September 30, 2025 compared to the same period a year ago due primarily to $38.3 million in higher cash-based compensation and benefits, $3.0 million of additional stock-based compensation, a $3.3 million</w:t>
      </w:r>
      <w:r>
        <w:rPr>
          <w:color w:val="000000"/>
        </w:rPr>
        <w:t xml:space="preserve"> </w:t>
      </w:r>
      <w:r>
        <w:rPr>
          <w:rFonts w:ascii="Times New Roman;serif" w:hAnsi="Times New Roman;serif"/>
          <w:b w:val="false"/>
          <w:color w:val="000000"/>
          <w:sz w:val="22"/>
        </w:rPr>
        <w:t>increase in marketing and advertising, a $2.0 million increase in professional service fees, a $1.6 million increase in internal event costs, and a $0.9 million in software expense. The increases in compensation and internal event costs were primarily due to an increase in employee headcount as we continue to invest in our go-to-market activities. The increases in marketing and advertising, professional service fees, and software expense were the result of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increased $3.1 million during the three months ended September 30, 2025 compared to the same quarter a year ago due primarily to a $2.1 million increase in cash-based compensation and benefits and $1.2 million of additional stock-based compensation. The increase in compensation is primarily attributable to an executive transition and a modest increase in headcount.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increased $8.6 million during the nine months ended September 30, 2025 compared to the same period a year ago due primarily to $4.7 million in higher cash-based compensation and benefits, $1.4 million of additional stock-based compensation, and a $2.6 million increase in internal event costs. The increase in compensation was due to a modest increase in employee headcount and an executive transition. The increase in internal event costs was due to a new internal event held in the second quarter.</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Non-Operating Income (Expenses)</w:t>
      </w:r>
    </w:p>
    <w:tbl>
      <w:tblPr>
        <w:tblW w:w="10205" w:type="dxa"/>
        <w:jc w:val="left"/>
        <w:tblInd w:w="0" w:type="dxa"/>
        <w:tblLayout w:type="fixed"/>
        <w:tblCellMar>
          <w:top w:w="28" w:type="dxa"/>
          <w:left w:w="28" w:type="dxa"/>
          <w:bottom w:w="28" w:type="dxa"/>
          <w:right w:w="28" w:type="dxa"/>
        </w:tblCellMar>
      </w:tblPr>
      <w:tblGrid>
        <w:gridCol w:w="673"/>
        <w:gridCol w:w="519"/>
        <w:gridCol w:w="524"/>
        <w:gridCol w:w="256"/>
        <w:gridCol w:w="748"/>
        <w:gridCol w:w="132"/>
        <w:gridCol w:w="132"/>
        <w:gridCol w:w="132"/>
        <w:gridCol w:w="132"/>
        <w:gridCol w:w="256"/>
        <w:gridCol w:w="748"/>
        <w:gridCol w:w="132"/>
        <w:gridCol w:w="109"/>
        <w:gridCol w:w="109"/>
        <w:gridCol w:w="109"/>
        <w:gridCol w:w="330"/>
        <w:gridCol w:w="330"/>
        <w:gridCol w:w="331"/>
        <w:gridCol w:w="109"/>
        <w:gridCol w:w="109"/>
        <w:gridCol w:w="109"/>
        <w:gridCol w:w="109"/>
        <w:gridCol w:w="236"/>
        <w:gridCol w:w="808"/>
        <w:gridCol w:w="122"/>
        <w:gridCol w:w="122"/>
        <w:gridCol w:w="122"/>
        <w:gridCol w:w="122"/>
        <w:gridCol w:w="236"/>
        <w:gridCol w:w="808"/>
        <w:gridCol w:w="122"/>
        <w:gridCol w:w="109"/>
        <w:gridCol w:w="109"/>
        <w:gridCol w:w="109"/>
        <w:gridCol w:w="303"/>
        <w:gridCol w:w="303"/>
        <w:gridCol w:w="436"/>
      </w:tblGrid>
      <w:tr>
        <w:trPr/>
        <w:tc>
          <w:tcPr>
            <w:tcW w:w="67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2" w:type="dxa"/>
            <w:gridSpan w:val="3"/>
            <w:tcBorders/>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Percentage is not meaningful.</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Interest Income, Interest Expense, and Other Income (Expense),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September 30, 2025, interest income decreased $0.9 million compared to the same quarter a year ago primarily due to lower interest rates. Interest expense remained relatively flat compared to the same quarter a year ago. Other income, net increased $0.7 million compared to the same quarter a year ago due primarily to gains on foreign currency transactions.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nine months ended September 30, 2025, interest income decreased $4.6 million compared to the same period a year ago due primarily to lower interest rates. Interest expense remained relatively flat compared to the same period a year ago. Other expense, net increased $0.3 million compared to the same period a year ago due primarily to losses on foreign currency transactions.</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Results of Operations for Fiscal 2024 Compared to 2023</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 comparison of our results of operations for the fiscal years ended December 31, 2024 and 2023, see "Part II, Item 7. Management's Discussion and Analysis of Financial Condition and Results of Operations" of our Annual Report on Form 10-K for the fiscal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Overview of 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2025, our principal sources of liquidity were cash, cash equivalents and marketable securities totaling $856.8 million, which were held for working capital purposes. We have financed our operations primarily through cash generated from operations and issuances of convertible debt. We have generated significant operating losses as reflected in our accumulated deficit on our consolidated balance sheets. While we may incur operating losses and negative cash flows from operations in the future, we believe that current cash and cash equivalents and cash flows from operating activities will be sufficient to fund our operations for at least the next twelve months.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Debt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As of September 30, 2025, we had outstanding debt relating to our 2026 Notes and 2028 Notes of $71.0 million and $695.7 million, with corresponding maturity dates of August 15, 2026 and August 15, 2028, respectively.</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Share Repurchase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30, 2024, our board of directors authorized a share repurchase plan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 As of September 30, 2025, we have repurchased $60.1 million of our Class A common stock under the 2024 Repurchase Plan.</w:t>
      </w:r>
    </w:p>
    <w:p>
      <w:pPr>
        <w:pStyle w:val="TextBody"/>
        <w:bidi w:val="0"/>
        <w:spacing w:lineRule="auto" w:line="268" w:before="240" w:after="120"/>
        <w:jc w:val="both"/>
        <w:rPr>
          <w:rFonts w:ascii="Times New Roman;serif" w:hAnsi="Times New Roman;serif"/>
          <w:b/>
          <w:i/>
          <w:color w:val="000000"/>
          <w:sz w:val="22"/>
        </w:rPr>
      </w:pPr>
      <w:r>
        <w:rPr>
          <w:rFonts w:ascii="Times New Roman;serif" w:hAnsi="Times New Roman;serif"/>
          <w:b/>
          <w:i/>
          <w:color w:val="000000"/>
          <w:sz w:val="22"/>
        </w:rPr>
        <w:t>Cash Flows</w:t>
      </w:r>
    </w:p>
    <w:tbl>
      <w:tblPr>
        <w:tblW w:w="10205" w:type="dxa"/>
        <w:jc w:val="left"/>
        <w:tblInd w:w="0" w:type="dxa"/>
        <w:tblLayout w:type="fixed"/>
        <w:tblCellMar>
          <w:top w:w="28" w:type="dxa"/>
          <w:left w:w="28" w:type="dxa"/>
          <w:bottom w:w="28" w:type="dxa"/>
          <w:right w:w="28" w:type="dxa"/>
        </w:tblCellMar>
      </w:tblPr>
      <w:tblGrid>
        <w:gridCol w:w="1682"/>
        <w:gridCol w:w="1383"/>
        <w:gridCol w:w="1388"/>
        <w:gridCol w:w="234"/>
        <w:gridCol w:w="799"/>
        <w:gridCol w:w="120"/>
        <w:gridCol w:w="120"/>
        <w:gridCol w:w="120"/>
        <w:gridCol w:w="120"/>
        <w:gridCol w:w="234"/>
        <w:gridCol w:w="850"/>
        <w:gridCol w:w="120"/>
        <w:gridCol w:w="109"/>
        <w:gridCol w:w="109"/>
        <w:gridCol w:w="109"/>
        <w:gridCol w:w="232"/>
        <w:gridCol w:w="794"/>
        <w:gridCol w:w="119"/>
        <w:gridCol w:w="119"/>
        <w:gridCol w:w="119"/>
        <w:gridCol w:w="119"/>
        <w:gridCol w:w="232"/>
        <w:gridCol w:w="794"/>
        <w:gridCol w:w="180"/>
      </w:tblGrid>
      <w:tr>
        <w:trPr/>
        <w:tc>
          <w:tcPr>
            <w:tcW w:w="16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investing activities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provided by financing activities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 net of impact of exchange rates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$46.2 million</w:t>
      </w:r>
      <w:r>
        <w:rPr>
          <w:color w:val="000000"/>
        </w:rPr>
        <w:t xml:space="preserve"> </w:t>
      </w:r>
      <w:r>
        <w:rPr>
          <w:rFonts w:ascii="Times New Roman;serif" w:hAnsi="Times New Roman;serif"/>
          <w:b w:val="false"/>
          <w:color w:val="000000"/>
          <w:sz w:val="22"/>
        </w:rPr>
        <w:t>for the three months ended September 30, 2025 consisted of a net income of $2.8 million adjusted for non-cash charges of $32.5 million and net cash inflows of $10.9 million from changes in operating assets and liabilities. The change in operating assets and liabilities was primarily driven by an increase in deferred revenue and accounts receivable due in part to large contracts closed during the quarter coupled with growth in our customer base. The increase in accrued expenses and other liabilities was due in part to timing of accruals and payments. The increases in other receivables and prepaid expenses were attributable primarily to the timing of cash payments and collections.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$18.9 million</w:t>
      </w:r>
      <w:r>
        <w:rPr>
          <w:color w:val="000000"/>
        </w:rPr>
        <w:t xml:space="preserve"> </w:t>
      </w:r>
      <w:r>
        <w:rPr>
          <w:rFonts w:ascii="Times New Roman;serif" w:hAnsi="Times New Roman;serif"/>
          <w:b w:val="false"/>
          <w:color w:val="000000"/>
          <w:sz w:val="22"/>
        </w:rPr>
        <w:t>for the three months ended September 30, 2024 consisted of a net loss of $17.0 million adjusted for non-cash charges of $28.5 million and net cash inflows of $7.4 million from changes in operating assets and liabilities. The change in operating assets and liabilities was primarily driven by an increase in deferred revenue which was due in part to an increase in large contracts signed in the period coupled with growth in our customer base. The increases in accounts receivable, other receivables, and accounts payable as well as the decrease in accrued expenses and other liabilities were attributable primarily to the timing of cash payments and collections.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$89.1 million for the nine months ended September 30, 2025 consisted of a net loss of $38.0 million adjusted for non-cash charges of $92.4 million and net cash inflows of $34.7 million from changes in operating assets and liabilities. The change in operating assets and liabilities was primarily driven by an increase in deferred revenue which was due in part to large contracts closed during the quarter coupled with growth in our customer base. The decrease in accrued expenses and other liabilities was due in part to timing of accruals and payments. The increases in accounts payable and prepaid expenses as well as the decreases in other receivables and other assets were attributable primarily to the timing of our billings, cash collections, and cash payments.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$43.7 million for the nine months ended September 30, 2024 consisted of a net loss of $46.2 million adjusted for non-cash charges of $75.9 million and net cash inflows of $14.0 million from changes in operating assets and liabilities. The adjustments for non-cash charges included a $45.1 million loss on induced conversion from the partial repurchase of our 2026 Notes. The change in operating assets and liabilities was primarily driven by an increase in deferred revenue which was due in part to multi-year prepaid customer contracts coupled with growth in our customer base. The increase in deferred costs was primarily due to growth in subscription bookings. The increases in accounts receivable, other assets, accounts payable, and accrued expenses and other liabilities as well as the decreases in other receivables and prepaid expenses were attributable primarily to the timing of our billings, cash collections, and cash payments.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$10.1 million for the three months ended September 30, 2025 consisted of $107.3 million in purchases of marketable securities partially offset by $97.4 million from the maturities of 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$49.6 million for the three months ended September 30, 2024 consisted of $158.5 million in purchases of marketable securities and $0.2 million for the acquisition of Sustain.Life partially offset by $109.0 million from the maturities of marketable securities.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investing activities of $23.5 million for the nine months ended September 30, 2025 consisted of $313.3 million in purchases of marketable securities and $1.8 million</w:t>
      </w:r>
      <w:r>
        <w:rPr>
          <w:color w:val="000000"/>
        </w:rPr>
        <w:t xml:space="preserve"> </w:t>
      </w:r>
      <w:r>
        <w:rPr>
          <w:rFonts w:ascii="Times New Roman;serif" w:hAnsi="Times New Roman;serif"/>
          <w:b w:val="false"/>
          <w:color w:val="000000"/>
          <w:sz w:val="22"/>
        </w:rPr>
        <w:t>in purchases of fixed assets partially offset by $291.7 million from the maturities of marketable securities. Our capital expenditures were associated primarily with computer equipment in support of our work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$58.5 million for the nine months ended September 30, 2024 consisted of $310.1 million in purchases of marketable securities, $98.1 million for the acquisition of Sustain.Life, and $0.6 million in purchases of fixed assets partially offset by $345.7 million from the maturities of marketable securities and $4.6 million from the sale of marketable securities. Our capital expenditures were associated primarily with computer equipment in support of expanding our infrastructure and work force.</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$3.6 million for the three months ended September 30, 2025 consisted of $10.0 million in repurchases of our Class A common stock under the 2024 Repurchase Plan partially offset by $6.2 million in proceeds from shares issued in connection with our Employee Stock Purchase Plan ("ESPP") and $0.4 million in proceeds from option exercises.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financing activities of $8.7 million for the three months ended September 30, 2024 consisted of $6.7 million in proceeds from shares issued in connection with our ESPP and</w:t>
      </w:r>
      <w:r>
        <w:rPr>
          <w:color w:val="000000"/>
        </w:rPr>
        <w:t xml:space="preserve"> </w:t>
      </w:r>
      <w:r>
        <w:rPr>
          <w:rFonts w:ascii="Times New Roman;serif" w:hAnsi="Times New Roman;serif"/>
          <w:b w:val="false"/>
          <w:color w:val="000000"/>
          <w:sz w:val="22"/>
        </w:rPr>
        <w:t>$3.3 million in proceeds from option exercises partially offset by $1.2 million in taxes paid related to net share settlements of stock-based compensation awards.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$57.5 million for the nine months ended September 30, 2025 consisted of $60.1 million in repurchases of our Class A common stock under the 2024 Repurchase Plan and $13.5 million in taxes paid related to net share settlements of stock-based compensation awards partially offset by $13.7 million in proceeds from shares issued in connection with our ESPP and $2.9 million in proceeds from option exercises.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financing activities of $5.9 million</w:t>
      </w:r>
      <w:r>
        <w:rPr>
          <w:color w:val="000000"/>
        </w:rPr>
        <w:t xml:space="preserve"> </w:t>
      </w:r>
      <w:r>
        <w:rPr>
          <w:rFonts w:ascii="Times New Roman;serif" w:hAnsi="Times New Roman;serif"/>
          <w:b w:val="false"/>
          <w:color w:val="000000"/>
          <w:sz w:val="22"/>
        </w:rPr>
        <w:t>for the nine months ended September 30, 2024 consisted of $13.8 million in proceeds from shares issued in connection with our ESPP and $3.9 million in proceeds from option exercises partially offset by $11.4 million in taxes paid related to net share settlements of stock-based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Contractual Obligations and Commitments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were no material changes in our contractual obligations and commitments from those disclosed in the Annual Report on Form 10-K for the year ended December 31, 2024 filed with the SEC on February 25,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nine months ended September 30, 2025, there were no significant changes to our critical accounting policies and estimates as described in the financial statements contained in the Annual Report on Form 10-K for the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quantitative and qualitative disclosures about market risk, see “Item 7A., Quantitative and Qualitative Disclosures About Market Risk” of our Annual Report on Form 10-K for the year ended December 31, 2024. Our exposures to market risk have not changed materially since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Limitations on the Effectiveness of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set forth in this report, you should carefully consider the factors discussed in Part I, “Item 1A. Risk Factors” in our 2024 Annual Report on Form 10-K, which could materially affect our business, financial condition or future results. There have been no material changes during fiscal year 2025 to the risk factors that were included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Unregistered Sales of Securities and Use of Proceeds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Sales of Unregistered Securities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Issuer Purchases of Equity Securities</w:t>
      </w:r>
    </w:p>
    <w:p>
      <w:pPr>
        <w:pStyle w:val="TextBody"/>
        <w:bidi w:val="0"/>
        <w:spacing w:lineRule="auto" w:line="268" w:before="0" w:after="0"/>
        <w:ind w:left="0" w:right="0" w:firstLine="720"/>
        <w:jc w:val="left"/>
        <w:rPr/>
      </w:pPr>
      <w:r>
        <w:rPr>
          <w:rFonts w:ascii="Times New Roman;serif" w:hAnsi="Times New Roman;serif"/>
          <w:b w:val="false"/>
          <w:color w:val="000000"/>
          <w:sz w:val="22"/>
        </w:rPr>
        <w:t>On August 1, 2024, we announced that on</w:t>
      </w:r>
      <w:r>
        <w:rPr>
          <w:color w:val="000000"/>
        </w:rPr>
        <w:t xml:space="preserve"> </w:t>
      </w:r>
      <w:r>
        <w:rPr>
          <w:rFonts w:ascii="Times New Roman;serif" w:hAnsi="Times New Roman;serif"/>
          <w:b w:val="false"/>
          <w:color w:val="000000"/>
          <w:sz w:val="22"/>
        </w:rPr>
        <w:t>July 30, 2024, our board of directors authorized a share repurchase plan for up to $100.0 million of our outstanding Class A common stock.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share repurchase activity for the three months ended September 30, 2025 (in thousands, except share and per share data):</w:t>
      </w:r>
    </w:p>
    <w:tbl>
      <w:tblPr>
        <w:tblW w:w="10205" w:type="dxa"/>
        <w:jc w:val="left"/>
        <w:tblInd w:w="0" w:type="dxa"/>
        <w:tblLayout w:type="fixed"/>
        <w:tblCellMar>
          <w:top w:w="28" w:type="dxa"/>
          <w:left w:w="28" w:type="dxa"/>
          <w:bottom w:w="28" w:type="dxa"/>
          <w:right w:w="28" w:type="dxa"/>
        </w:tblCellMar>
      </w:tblPr>
      <w:tblGrid>
        <w:gridCol w:w="892"/>
        <w:gridCol w:w="501"/>
        <w:gridCol w:w="507"/>
        <w:gridCol w:w="519"/>
        <w:gridCol w:w="404"/>
        <w:gridCol w:w="405"/>
        <w:gridCol w:w="109"/>
        <w:gridCol w:w="109"/>
        <w:gridCol w:w="109"/>
        <w:gridCol w:w="246"/>
        <w:gridCol w:w="719"/>
        <w:gridCol w:w="127"/>
        <w:gridCol w:w="109"/>
        <w:gridCol w:w="109"/>
        <w:gridCol w:w="109"/>
        <w:gridCol w:w="535"/>
        <w:gridCol w:w="446"/>
        <w:gridCol w:w="447"/>
        <w:gridCol w:w="109"/>
        <w:gridCol w:w="109"/>
        <w:gridCol w:w="109"/>
        <w:gridCol w:w="671"/>
        <w:gridCol w:w="2302"/>
        <w:gridCol w:w="503"/>
      </w:tblGrid>
      <w:tr>
        <w:trPr/>
        <w:tc>
          <w:tcPr>
            <w:tcW w:w="89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per Share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as Part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Publicly Announced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that May Yet Be Purchased Under the Plans or Programs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126,304 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126,304 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126,304</w:t>
            </w:r>
            <w:r>
              <w:rPr>
                <w:color w:val="000000"/>
              </w:rPr>
              <w:t>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126,304</w:t>
            </w:r>
            <w:r>
              <w:rPr>
                <w:color w:val="000000"/>
              </w:rPr>
              <w:t>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 xml:space="preserve">Departure of Chief Financial Officer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previously disclosed in its quarterly report on Form 10-Q for the period ended June 30, 2025, the Company announced that Jill E. Klindt, Executive Vice President, Chief Financial Officer ("CFO") and Treasurer of the Company will be stepping down in 2025 following a transition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her departure and in order to facilitate an orderly transition, the Company and Ms. Klindt entered into a Severance and Transition Services Agreement (the "Agreement") on October 30, 2025. The Agreement will be effective as of November 7, 2025 (the "Effective Date"), following the end of a seven-day revocation period. The Agreement provides that Ms. Klindt's employment will end on December 26, 2025, unless terminated earlier by either party (the "Termination Date"). Ms. Klindt will remain as CFO until the earlier of the Termination Date or the date on which a new CFO is hired.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Agreement further provides that the Company will pay Ms. Klindt a lump-sum cash severance payment of $1,928,321.53 within 10 business days after the Termination Date, in accordance with the amount payable in connection with a termination without cause under Ms. Klindt's employment agreement. Additionally, Ms. Klindt's outstanding stock or equity-based compensation awards that have not yet vested as of the Termination Date will vest as of the Termination Date, with performance-based awards vesting at target performance. If Ms. Klindt elects continuation coverage under COBRA, the Company will continue to make payments for her health insurance coverage for 18 months or until Ms. Klindt becomes eligible to receive coverage from another employer, whichever occurs first. Additionally, if a change in control (as such term is defined in Ms. Klindt’s employment agreement) of the Company occurs within three months following the Termination Date, Ms. Klindt will be entitled to receive an additional lump-sum cash payment of $1,075,000, in accordance with Ms. Klindt’s employment agreement. Finally, the Agreement includes other standard provisions contained in agreements of this nature, including non-disparagement, confidentiality, and a general release of any and all claims against the Company. The foregoing summary of the Agreement does not purport to be complete and is qualified in its entirety by reference to the Agreement, which is filed herewith as Exhibit 10.1.</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appreciates Ms. Klindt's service and commitment and wishes her well. </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Departure of Chief Sales Officer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November 5, 2025 the Company announced that Michael Hawkins, Executive Vice President, Chief Sales Officer ("CSO") of the Company, will be stepping down, effective November 5,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his departure, the Company has entered into a Severance Agreement and General Release on October 30, 2025 (the “Severance and Release Agreement”), which will be effective following the end of a seven-day revocation period. The Severance and Release Agreement includes a consulting arrangement between the Company and Mr. Hawkins, effective from November 7, 2025 until December 31, 2025, which provides for payment of $10,000 per month to Mr. Hawkins to consult on a periodic basis with the CEO concerning the Company’s sales function and to ensure a smooth transition. This agreement includes standard provisions contained in agreements of this nature, including non-disparagement, confidentiality, and a general release of any and all claims against the Company.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Further, pursuant to the terms of Mr. Hawkins’s Employment Agreement dated August 12, 2021, Mr. Hawkins’s departure will be deemed a termination without cause (as such term is defined in his employment agreement). Accordingly, the Company will pay Mr. Hawkins a lump-sum cash severance payment of $2,124,087.61 within 10 business days after the Termination Date (as such term is defined in his employment agreement), in accordance with the amount payable in connection with a termination without cause under his employment agreement. Additionally, Mr. Hawkins's outstanding stock or equity-based compensation awards that have not yet vested as of the Termination Date will vest as of the Termination Date, with performance-based awards vesting at target performance. If Mr. Hawkins elects continuation coverage under COBRA, the Company will continue to make payments for his health insurance coverage for 18 months or until Mr. Hawkins becomes eligible to receive coverage from another employer, whichever occurs first. Additionally, if a change in control of the Company occurs within three months following the Termination Date, Mr. Hawkins will be entitled to receive an additional lump-sum cash payment of $1,237,600, in accordance with his employment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foregoing summary of the Severance and Release Agreement does not purport to be complete and is qualified in its entirety by reference to the Severance and Release Agreement, which is filed herewith as Exhibit 10.2.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Mr. Hawkins departure was not the result of any disagreement with the Company or its management on any matter relating to the Company’s operations, policies or practices.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appreciates Mr. Hawkins service and commitment and wishes him well. </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Director and Officer Trading Arrangements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September 30,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being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22"/>
        <w:gridCol w:w="2577"/>
        <w:gridCol w:w="36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klindtseverance.htm">
              <w:r>
                <w:rPr>
                  <w:rStyle w:val="InternetLink"/>
                  <w:rFonts w:ascii="Times New Roman;serif" w:hAnsi="Times New Roman;serif"/>
                  <w:b w:val="false"/>
                  <w:color w:val="0000FF"/>
                  <w:sz w:val="20"/>
                  <w:u w:val="single"/>
                </w:rPr>
                <w:t>Severance and Transition Services Agreement, dated October 30, 2025, between the Company and Jill E. Klindt</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mhseveranceagre.htm">
              <w:r>
                <w:rPr>
                  <w:rStyle w:val="InternetLink"/>
                  <w:rFonts w:ascii="Times New Roman;serif" w:hAnsi="Times New Roman;serif"/>
                  <w:b w:val="false"/>
                  <w:color w:val="0000FF"/>
                  <w:sz w:val="20"/>
                  <w:u w:val="single"/>
                </w:rPr>
                <w:t>Severance and General Release Agreement, dated October 30, 2025, between the Company and Michael Hawkins</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tion302xceoc.htm">
              <w:r>
                <w:rPr>
                  <w:rStyle w:val="InternetLink"/>
                  <w:rFonts w:ascii="Times New Roman;serif" w:hAnsi="Times New Roman;serif"/>
                  <w:b w:val="false"/>
                  <w:color w:val="0000FF"/>
                  <w:sz w:val="20"/>
                  <w:u w:val="single"/>
                </w:rPr>
                <w:t>Certification of the Chief Executive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tion302xcfoc.htm">
              <w:r>
                <w:rPr>
                  <w:rStyle w:val="InternetLink"/>
                  <w:rFonts w:ascii="Times New Roman;serif" w:hAnsi="Times New Roman;serif"/>
                  <w:b w:val="false"/>
                  <w:color w:val="0000FF"/>
                  <w:sz w:val="20"/>
                  <w:u w:val="single"/>
                </w:rPr>
                <w:t>Certification of the Chief Financial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section906xceoc.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section906xcfoc.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Workiva Inc.'s Quarterly Report on Form 10-Q for the quarter ended September 30, 2025 formatted in Inline XBRL (Extensible Business Reporting Language) includes: (i) the Consolidated Balance Sheets, (ii) the Consolidated Statements of Operations, (iii) the Consolidated Statements of Comprehensive Income (Loss), (iv) the Consolidated Statements of Changes in Stockholders Deficit, (v) the Consolidated Statements of Cash Flows, and (vi) Notes to the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Management contract,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530b34a011045e7bbaef04afaefd6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 on this 5th day of November, 2025.</w:t>
      </w:r>
    </w:p>
    <w:tbl>
      <w:tblPr>
        <w:tblW w:w="6174" w:type="dxa"/>
        <w:jc w:val="right"/>
        <w:tblInd w:w="0" w:type="dxa"/>
        <w:tblLayout w:type="fixed"/>
        <w:tblCellMar>
          <w:top w:w="28" w:type="dxa"/>
          <w:left w:w="28" w:type="dxa"/>
          <w:bottom w:w="28" w:type="dxa"/>
          <w:right w:w="28" w:type="dxa"/>
        </w:tblCellMar>
      </w:tblPr>
      <w:tblGrid>
        <w:gridCol w:w="325"/>
        <w:gridCol w:w="285"/>
        <w:gridCol w:w="285"/>
        <w:gridCol w:w="1534"/>
        <w:gridCol w:w="1534"/>
        <w:gridCol w:w="221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617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Jill Klindt</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Klindt</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before="5" w:after="283"/>
        <w:jc w:val="both"/>
        <w:rPr/>
      </w:pPr>
      <w:r>
        <w:rPr/>
      </w:r>
    </w:p>
    <w:p>
      <w:pPr>
        <w:pStyle w:val="TextBody"/>
        <w:bidi w:val="0"/>
        <w:spacing w:lineRule="auto" w:line="321" w:before="0" w:after="80"/>
        <w:jc w:val="center"/>
        <w:rPr/>
      </w:pPr>
      <w:r>
        <w:rPr>
          <w:rFonts w:ascii="Times New Roman;serif" w:hAnsi="Times New Roman;serif"/>
          <w:b/>
          <w:color w:val="000000"/>
          <w:sz w:val="22"/>
        </w:rPr>
        <w:t>SEVERANCE</w:t>
      </w:r>
      <w:r>
        <w:rPr>
          <w:color w:val="000000"/>
        </w:rPr>
        <w:t xml:space="preserve"> </w:t>
      </w:r>
      <w:r>
        <w:rPr>
          <w:rFonts w:ascii="Times New Roman;serif" w:hAnsi="Times New Roman;serif"/>
          <w:b/>
          <w:color w:val="000000"/>
          <w:sz w:val="22"/>
        </w:rPr>
        <w:t>AND TRANSITION SERVICES AGREEMENT</w:t>
      </w:r>
    </w:p>
    <w:p>
      <w:pPr>
        <w:pStyle w:val="TextBody"/>
        <w:bidi w:val="0"/>
        <w:spacing w:lineRule="auto" w:line="288" w:before="271" w:after="283"/>
        <w:ind w:left="0" w:right="0" w:firstLine="719"/>
        <w:jc w:val="both"/>
        <w:rPr/>
      </w:pP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Severance</w:t>
      </w:r>
      <w:r>
        <w:rPr>
          <w:color w:val="000000"/>
        </w:rPr>
        <w:t xml:space="preserve"> </w:t>
      </w:r>
      <w:r>
        <w:rPr>
          <w:rFonts w:ascii="Times New Roman;serif" w:hAnsi="Times New Roman;serif"/>
          <w:b w:val="false"/>
          <w:color w:val="000000"/>
          <w:sz w:val="22"/>
        </w:rPr>
        <w:t>and Transition Services Agreement (“Agreement”), dated October 30, 2025,</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being</w:t>
      </w:r>
      <w:r>
        <w:rPr>
          <w:color w:val="000000"/>
        </w:rPr>
        <w:t xml:space="preserve"> </w:t>
      </w:r>
      <w:r>
        <w:rPr>
          <w:rFonts w:ascii="Times New Roman;serif" w:hAnsi="Times New Roman;serif"/>
          <w:b w:val="false"/>
          <w:color w:val="000000"/>
          <w:sz w:val="22"/>
        </w:rPr>
        <w:t>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by Workiva</w:t>
      </w:r>
      <w:r>
        <w:rPr>
          <w:color w:val="000000"/>
        </w:rPr>
        <w:t xml:space="preserve"> </w:t>
      </w:r>
      <w:r>
        <w:rPr>
          <w:rFonts w:ascii="Times New Roman;serif" w:hAnsi="Times New Roman;serif"/>
          <w:b w:val="false"/>
          <w:color w:val="000000"/>
          <w:sz w:val="22"/>
        </w:rPr>
        <w:t>Inc. (“Company”) and Jill Klindt (“Executive”) (together, “Parties”).</w:t>
      </w:r>
    </w:p>
    <w:p>
      <w:pPr>
        <w:pStyle w:val="TextBody"/>
        <w:bidi w:val="0"/>
        <w:spacing w:before="0" w:after="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Employment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dated</w:t>
      </w:r>
      <w:r>
        <w:rPr>
          <w:color w:val="000000"/>
        </w:rPr>
        <w:t xml:space="preserve"> </w:t>
      </w:r>
      <w:r>
        <w:rPr>
          <w:rFonts w:ascii="Times New Roman;serif" w:hAnsi="Times New Roman;serif"/>
          <w:b w:val="false"/>
          <w:color w:val="000000"/>
          <w:sz w:val="22"/>
        </w:rPr>
        <w:t>February 19, 2024 (the “Employment Agreement”);</w:t>
      </w:r>
    </w:p>
    <w:p>
      <w:pPr>
        <w:pStyle w:val="TextBody"/>
        <w:bidi w:val="0"/>
        <w:spacing w:lineRule="auto" w:line="288" w:before="271" w:after="283"/>
        <w:ind w:left="0" w:right="0" w:firstLine="647"/>
        <w:jc w:val="both"/>
        <w:rPr>
          <w:rFonts w:ascii="Times New Roman;serif" w:hAnsi="Times New Roman;serif"/>
          <w:b w:val="false"/>
          <w:color w:val="000000"/>
          <w:sz w:val="22"/>
        </w:rPr>
      </w:pPr>
      <w:r>
        <w:rPr>
          <w:rFonts w:ascii="Times New Roman;serif" w:hAnsi="Times New Roman;serif"/>
          <w:b w:val="false"/>
          <w:color w:val="000000"/>
          <w:sz w:val="22"/>
        </w:rPr>
        <w:t>WHEREAS, the Company has adopted and maintains the Workiva Inc. 2014 Equity Incentive Plan (As Amended and Restated Effective May 30, 2024) (the “Plan”);</w:t>
      </w:r>
    </w:p>
    <w:p>
      <w:pPr>
        <w:pStyle w:val="TextBody"/>
        <w:bidi w:val="0"/>
        <w:spacing w:before="0" w:after="0"/>
        <w:ind w:left="0" w:right="0" w:firstLine="719"/>
        <w:jc w:val="both"/>
        <w:rPr/>
      </w:pPr>
      <w:r>
        <w:rPr/>
      </w:r>
    </w:p>
    <w:p>
      <w:pPr>
        <w:pStyle w:val="TextBody"/>
        <w:bidi w:val="0"/>
        <w:spacing w:lineRule="auto" w:line="288" w:before="0" w:after="0"/>
        <w:ind w:left="0" w:right="0" w:firstLine="647"/>
        <w:jc w:val="both"/>
        <w:rPr>
          <w:rFonts w:ascii="Times New Roman;serif" w:hAnsi="Times New Roman;serif"/>
          <w:b w:val="false"/>
          <w:color w:val="000000"/>
          <w:sz w:val="22"/>
        </w:rPr>
      </w:pPr>
      <w:r>
        <w:rPr>
          <w:rFonts w:ascii="Times New Roman;serif" w:hAnsi="Times New Roman;serif"/>
          <w:b w:val="false"/>
          <w:color w:val="000000"/>
          <w:sz w:val="22"/>
        </w:rPr>
        <w:t>WHEREAS, the Compensation Committee of the Company (“the Committee”) granted Executive: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 30,930 service-based vesting restricted stock units on February 1, 2023, 10,310 of which remain unvested;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(ii) 30,966 service-based vesting restricted stock units on February 1, 2024, 20,664 of which remain unvested;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(iii) 32,018 service-based vesting restricted stock units on February 3, 2025, 32,018 of which remain unvested;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(iv) 13,256 performance-based vesting restricted stock units on February 1, 2023, 4,419 of which remain unvested;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(v) 13,284 performance-based vesting restricted stock units on February 1, 2024, 8,856 of which remain unvested; and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(vi) 13,722 performance-based vesting restricted stock units, 13,722 of which remain unvested (collectively, “Equity Awards”);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WHEREAS, pursuant to Sections 9(c)(1) and 9(c)(2) of the Plan, the Committee may accelerate the vesting of restricted stock units granted under the Plan;</w:t>
      </w:r>
    </w:p>
    <w:p>
      <w:pPr>
        <w:pStyle w:val="TextBody"/>
        <w:bidi w:val="0"/>
        <w:spacing w:before="120" w:after="283"/>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Company</w:t>
      </w:r>
      <w:r>
        <w:rPr>
          <w:color w:val="000000"/>
        </w:rPr>
        <w:t xml:space="preserve"> </w:t>
      </w:r>
      <w:r>
        <w:rPr>
          <w:rFonts w:ascii="Times New Roman;serif" w:hAnsi="Times New Roman;serif"/>
          <w:b w:val="false"/>
          <w:color w:val="000000"/>
          <w:sz w:val="22"/>
        </w:rPr>
        <w:t>now</w:t>
      </w:r>
      <w:r>
        <w:rPr>
          <w:color w:val="000000"/>
        </w:rPr>
        <w:t xml:space="preserve"> </w:t>
      </w:r>
      <w:r>
        <w:rPr>
          <w:rFonts w:ascii="Times New Roman;serif" w:hAnsi="Times New Roman;serif"/>
          <w:b w:val="false"/>
          <w:color w:val="000000"/>
          <w:sz w:val="22"/>
        </w:rPr>
        <w:t>wishes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terminate</w:t>
      </w:r>
      <w:r>
        <w:rPr>
          <w:color w:val="000000"/>
        </w:rPr>
        <w:t xml:space="preserve"> </w:t>
      </w:r>
      <w:r>
        <w:rPr>
          <w:rFonts w:ascii="Times New Roman;serif" w:hAnsi="Times New Roman;serif"/>
          <w:b w:val="false"/>
          <w:color w:val="000000"/>
          <w:sz w:val="22"/>
        </w:rPr>
        <w:t>Executive’s</w:t>
      </w:r>
      <w:r>
        <w:rPr>
          <w:color w:val="000000"/>
        </w:rPr>
        <w:t xml:space="preserve"> </w:t>
      </w:r>
      <w:r>
        <w:rPr>
          <w:rFonts w:ascii="Times New Roman;serif" w:hAnsi="Times New Roman;serif"/>
          <w:b w:val="false"/>
          <w:color w:val="000000"/>
          <w:sz w:val="22"/>
        </w:rPr>
        <w:t>employment</w:t>
      </w:r>
      <w:r>
        <w:rPr>
          <w:color w:val="000000"/>
        </w:rPr>
        <w:t xml:space="preserve"> </w:t>
      </w:r>
      <w:r>
        <w:rPr>
          <w:rFonts w:ascii="Times New Roman;serif" w:hAnsi="Times New Roman;serif"/>
          <w:b w:val="false"/>
          <w:color w:val="000000"/>
          <w:sz w:val="22"/>
        </w:rPr>
        <w:t>without</w:t>
      </w:r>
      <w:r>
        <w:rPr>
          <w:color w:val="000000"/>
        </w:rPr>
        <w:t xml:space="preserve"> </w:t>
      </w:r>
      <w:r>
        <w:rPr>
          <w:rFonts w:ascii="Times New Roman;serif" w:hAnsi="Times New Roman;serif"/>
          <w:b w:val="false"/>
          <w:color w:val="000000"/>
          <w:sz w:val="22"/>
        </w:rPr>
        <w:t>Cause (as defined in the Employment Agreement), effective no later than December 26, 2025;</w:t>
      </w:r>
    </w:p>
    <w:p>
      <w:pPr>
        <w:pStyle w:val="TextBody"/>
        <w:bidi w:val="0"/>
        <w:spacing w:before="0" w:after="0"/>
        <w:ind w:left="0" w:right="0" w:firstLine="719"/>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entitled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certain</w:t>
      </w:r>
      <w:r>
        <w:rPr>
          <w:color w:val="000000"/>
        </w:rPr>
        <w:t xml:space="preserve"> </w:t>
      </w:r>
      <w:r>
        <w:rPr>
          <w:rFonts w:ascii="Times New Roman;serif" w:hAnsi="Times New Roman;serif"/>
          <w:b w:val="false"/>
          <w:color w:val="000000"/>
          <w:sz w:val="22"/>
        </w:rPr>
        <w:t>payments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benefits</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Employment Agreement in exchange for a general release of claims; and</w:t>
      </w:r>
    </w:p>
    <w:p>
      <w:pPr>
        <w:pStyle w:val="TextBody"/>
        <w:bidi w:val="0"/>
        <w:spacing w:before="0" w:after="0"/>
        <w:jc w:val="both"/>
        <w:rPr/>
      </w:pPr>
      <w:r>
        <w:rPr/>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WHEREAS, the Parties wish to provide for an orderly transition of Executive’s duties and responsibilities between now and her last day of employment, and resolve all matters related to Executive’s employment with and termination from Company in an amicable manner.</w:t>
      </w:r>
    </w:p>
    <w:p>
      <w:pPr>
        <w:pStyle w:val="TextBody"/>
        <w:bidi w:val="0"/>
        <w:spacing w:before="0" w:after="0"/>
        <w:jc w:val="both"/>
        <w:rPr/>
      </w:pPr>
      <w:r>
        <w:rPr/>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THEREFORE, in consideration of the mutual agreements and promises contained herein, the Parties agree as follows:</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80"/>
        <w:ind w:left="0" w:right="0" w:hanging="360"/>
        <w:jc w:val="both"/>
        <w:rPr/>
      </w:pPr>
      <w:r>
        <w:rPr>
          <w:rFonts w:ascii="Times New Roman;serif" w:hAnsi="Times New Roman;serif"/>
          <w:b/>
          <w:color w:val="000000"/>
          <w:sz w:val="24"/>
        </w:rPr>
        <w:t>1.</w:t>
      </w:r>
      <w:r>
        <w:rPr>
          <w:rFonts w:ascii="Times New Roman;serif" w:hAnsi="Times New Roman;serif"/>
          <w:b/>
          <w:color w:val="000000"/>
          <w:sz w:val="22"/>
        </w:rPr>
        <w:t>TERMINATION</w:t>
      </w:r>
      <w:r>
        <w:rPr>
          <w:color w:val="000000"/>
        </w:rPr>
        <w:t xml:space="preserve"> </w:t>
      </w:r>
      <w:r>
        <w:rPr>
          <w:rFonts w:ascii="Times New Roman;serif" w:hAnsi="Times New Roman;serif"/>
          <w:b/>
          <w:color w:val="000000"/>
          <w:sz w:val="22"/>
        </w:rPr>
        <w:t>DATE.</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 xml:space="preserve">1.1.Executive’s employment with Company will terminate effective December 26, 2025 or earlier as set forth below (the date on which her employment ends is the “Termination Date”). However, Executive will cede her Chief Financial Officer (“CFO”) title effective upon the hire of a new CFO, if earlier than the Termination Date. Should she cede her title prior to the Termination Date, she will no longer be considered a Section 16 Executive Officer. Notwithstanding this, should either party decide to terminate Executive’s employment prior to December 26, 2025, it may do so upon 10 days’ written notice. Should Company provide this notice of earlier termination, Executive will continue to receive salary and benefits through December 26, 2025. Should Executive provide this notice, her salary and benefits will end on the Termination Date. </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1.2.Between now and the earlier of the Termination Date or the date on which a new CFO is hired, Executive agrees to continue to serve as Company’s CFO and provide services consistent with the role, as well as other services as reasonably requested by Company. Further, Executive agrees to assist with the transitioning of her duties and responsibilities to a new CFO, if any, in good faith.</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 xml:space="preserve">1.3.Notwithstanding anything to the contrary herein, Workiva maintains its right to terminate Executive for Cause, pursuant to 4.1 of the Employment Agreement, at any time between now and the Termination Date, should circumstances warrant, in which case this Agreement will be void in its entirety. </w:t>
      </w:r>
    </w:p>
    <w:p>
      <w:pPr>
        <w:pStyle w:val="TextBody"/>
        <w:bidi w:val="0"/>
        <w:spacing w:lineRule="auto" w:line="321" w:before="360" w:after="80"/>
        <w:ind w:left="0" w:right="0" w:hanging="360"/>
        <w:jc w:val="both"/>
        <w:rPr/>
      </w:pPr>
      <w:r>
        <w:rPr>
          <w:rFonts w:ascii="Times New Roman;serif" w:hAnsi="Times New Roman;serif"/>
          <w:b/>
          <w:color w:val="000000"/>
          <w:sz w:val="24"/>
        </w:rPr>
        <w:t>2.</w:t>
      </w:r>
      <w:r>
        <w:rPr>
          <w:rFonts w:ascii="Times New Roman;serif" w:hAnsi="Times New Roman;serif"/>
          <w:b/>
          <w:color w:val="000000"/>
          <w:sz w:val="22"/>
        </w:rPr>
        <w:t>VALUABLE</w:t>
      </w:r>
      <w:r>
        <w:rPr>
          <w:color w:val="000000"/>
        </w:rPr>
        <w:t xml:space="preserve"> </w:t>
      </w:r>
      <w:r>
        <w:rPr>
          <w:rFonts w:ascii="Times New Roman;serif" w:hAnsi="Times New Roman;serif"/>
          <w:b/>
          <w:color w:val="000000"/>
          <w:sz w:val="22"/>
        </w:rPr>
        <w:t>CONSIDERATION.</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2.1.Company agrees to pay Executive the sum of $1,928,321.53 (“Separation Payment”). This sum is calculated as follows:</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2x sum of base salary + target bonus, or 2 x ($430,000 + $322,500) = $1,505,000, plus</w:t>
      </w:r>
    </w:p>
    <w:p>
      <w:pPr>
        <w:pStyle w:val="TextBody"/>
        <w:bidi w:val="0"/>
        <w:spacing w:lineRule="auto" w:line="288" w:before="235" w:after="283"/>
        <w:jc w:val="both"/>
        <w:rPr>
          <w:rFonts w:ascii="Times New Roman;serif" w:hAnsi="Times New Roman;serif"/>
          <w:b w:val="false"/>
          <w:color w:val="000000"/>
          <w:sz w:val="18"/>
        </w:rPr>
      </w:pPr>
      <w:r>
        <w:rPr>
          <w:rFonts w:ascii="Times New Roman;serif" w:hAnsi="Times New Roman;serif"/>
          <w:b w:val="false"/>
          <w:color w:val="000000"/>
          <w:sz w:val="18"/>
        </w:rPr>
        <w:t>Prorated bonus, based on February 2025 bonus prorated through December 26, 2025, or $423,321.53.</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2.2.The Separation Payment will be paid in a lump sum within 10 business days after the Termination Date and will be less required withholding.</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2.3.Assuming Executive timely elects to continue her health insurance pursuant to COBRA, Company will pay the full premiums on her behalf for 18 months or until she is eligible for the benefits of another employer, whichever occurs first.</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 xml:space="preserve">2.4.Workiva will also accelerate the vesting of all Equity Awards unvested as of the Termination Date, subject to Executive’s timely execution and non-revocation of this Agreement. Any delays in the settlement or payment of such awards that are set forth in the applicable award agreement or the Workiva Inc. Nonqualified Deferred Compensation Plan, or that are required under § 409A of the Internal Revenue Code, will remain in effect. For the avoidance of doubt, (i) Equity Awards which are </w:t>
      </w:r>
    </w:p>
    <w:p>
      <w:pPr>
        <w:pStyle w:val="TextBody"/>
        <w:bidi w:val="0"/>
        <w:spacing w:before="0" w:after="1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restricted stock units (other than performance stock units) will vest in full on the Termination Date, and (ii) Equity Awards which are performance stock units will vest at target performance.</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2.5.If a Change in Control (as defined in the Employment Agreement) occurs within three months following the Termination Date, Executive will be entitled to receive an additional payment of $1,075,000 (i.e. 1x sum of base salary + target bonus), which is the additional amount due under Section 4.4 of the Employment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2.6.Executive acknowledges that the benefits described above are being provided to her expressly in exchange for her entering into this Agreement and are subject to her compliance with all applicable terms of this Agreement and the Employment Agreement. </w:t>
      </w:r>
    </w:p>
    <w:p>
      <w:pPr>
        <w:pStyle w:val="TextBody"/>
        <w:bidi w:val="0"/>
        <w:spacing w:lineRule="auto" w:line="321" w:before="360" w:after="80"/>
        <w:ind w:left="0" w:right="0" w:hanging="360"/>
        <w:jc w:val="both"/>
        <w:rPr/>
      </w:pPr>
      <w:r>
        <w:rPr>
          <w:rFonts w:ascii="Times New Roman;serif" w:hAnsi="Times New Roman;serif"/>
          <w:b/>
          <w:color w:val="000000"/>
          <w:sz w:val="24"/>
        </w:rPr>
        <w:t>3.</w:t>
      </w:r>
      <w:r>
        <w:rPr>
          <w:rFonts w:ascii="Times New Roman;serif" w:hAnsi="Times New Roman;serif"/>
          <w:b/>
          <w:color w:val="000000"/>
          <w:sz w:val="22"/>
        </w:rPr>
        <w:t>RELEASE, WAIVER AND COVENANTS NOT TO SUE.</w:t>
      </w:r>
    </w:p>
    <w:p>
      <w:pPr>
        <w:pStyle w:val="TextBody"/>
        <w:bidi w:val="0"/>
        <w:spacing w:lineRule="auto" w:line="288" w:before="0" w:after="0"/>
        <w:jc w:val="both"/>
        <w:rPr/>
      </w:pPr>
      <w:r>
        <w:rPr>
          <w:rFonts w:ascii="Times New Roman;serif" w:hAnsi="Times New Roman;serif"/>
          <w:b w:val="false"/>
          <w:color w:val="000000"/>
          <w:sz w:val="24"/>
        </w:rPr>
        <w:t>3.1.Executive hereby releases and waives all claims and causes of action of any kind that she has, known and unknown, against Company, including its owners, officers, directors, parents, subsidiaries, Executives, affiliates, agents, attorneys, joint ventures, successors and/or assigns (Company together with these individuals and entities are referred to as the “Released Parties”).</w:t>
      </w:r>
      <w:r>
        <w:rPr>
          <w:color w:val="000000"/>
        </w:rPr>
        <w:t xml:space="preserve"> </w:t>
      </w:r>
      <w:r>
        <w:rPr>
          <w:rFonts w:ascii="Times New Roman;serif" w:hAnsi="Times New Roman;serif"/>
          <w:b w:val="false"/>
          <w:color w:val="000000"/>
          <w:sz w:val="24"/>
        </w:rPr>
        <w:t>This release and waiver includes all claims and causes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she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Title</w:t>
      </w:r>
      <w:r>
        <w:rPr>
          <w:color w:val="000000"/>
        </w:rPr>
        <w:t xml:space="preserve"> </w:t>
      </w:r>
      <w:r>
        <w:rPr>
          <w:rFonts w:ascii="Times New Roman;serif" w:hAnsi="Times New Roman;serif"/>
          <w:b w:val="false"/>
          <w:color w:val="000000"/>
          <w:sz w:val="24"/>
        </w:rPr>
        <w:t>VII</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Civil</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Americans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Disabilities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Age</w:t>
      </w:r>
      <w:r>
        <w:rPr>
          <w:color w:val="000000"/>
        </w:rPr>
        <w:t xml:space="preserve"> </w:t>
      </w:r>
      <w:r>
        <w:rPr>
          <w:rFonts w:ascii="Times New Roman;serif" w:hAnsi="Times New Roman;serif"/>
          <w:b w:val="false"/>
          <w:color w:val="000000"/>
          <w:sz w:val="24"/>
        </w:rPr>
        <w:t>Discrimination</w:t>
      </w:r>
      <w:r>
        <w:rPr>
          <w:color w:val="000000"/>
        </w:rPr>
        <w:t xml:space="preserve"> </w:t>
      </w:r>
      <w:r>
        <w:rPr>
          <w:rFonts w:ascii="Times New Roman;serif" w:hAnsi="Times New Roman;serif"/>
          <w:b w:val="false"/>
          <w:color w:val="000000"/>
          <w:sz w:val="24"/>
        </w:rPr>
        <w:t>in Employment</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Retirement</w:t>
      </w:r>
      <w:r>
        <w:rPr>
          <w:color w:val="000000"/>
        </w:rPr>
        <w:t xml:space="preserve"> </w:t>
      </w:r>
      <w:r>
        <w:rPr>
          <w:rFonts w:ascii="Times New Roman;serif" w:hAnsi="Times New Roman;serif"/>
          <w:b w:val="false"/>
          <w:color w:val="000000"/>
          <w:sz w:val="24"/>
        </w:rPr>
        <w:t>Income</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Iowa</w:t>
      </w:r>
      <w:r>
        <w:rPr>
          <w:color w:val="000000"/>
        </w:rPr>
        <w:t xml:space="preserve"> </w:t>
      </w:r>
      <w:r>
        <w:rPr>
          <w:rFonts w:ascii="Times New Roman;serif" w:hAnsi="Times New Roman;serif"/>
          <w:b w:val="false"/>
          <w:color w:val="000000"/>
          <w:sz w:val="24"/>
        </w:rPr>
        <w:t>Civil</w:t>
      </w:r>
      <w:r>
        <w:rPr>
          <w:color w:val="000000"/>
        </w:rPr>
        <w:t xml:space="preserve"> </w:t>
      </w:r>
      <w:r>
        <w:rPr>
          <w:rFonts w:ascii="Times New Roman;serif" w:hAnsi="Times New Roman;serif"/>
          <w:b w:val="false"/>
          <w:color w:val="000000"/>
          <w:sz w:val="24"/>
        </w:rPr>
        <w:t>Rights Act.</w:t>
      </w:r>
      <w:r>
        <w:rPr>
          <w:color w:val="000000"/>
        </w:rPr>
        <w:t xml:space="preserve"> </w:t>
      </w:r>
      <w:r>
        <w:rPr>
          <w:rFonts w:ascii="Times New Roman;serif" w:hAnsi="Times New Roman;serif"/>
          <w:b w:val="false"/>
          <w:color w:val="000000"/>
          <w:sz w:val="24"/>
        </w:rPr>
        <w:t>It also includes any common law claims, such as contract and tort claims.</w:t>
      </w:r>
    </w:p>
    <w:p>
      <w:pPr>
        <w:pStyle w:val="TextBody"/>
        <w:bidi w:val="0"/>
        <w:spacing w:lineRule="auto" w:line="288" w:before="240" w:after="283"/>
        <w:jc w:val="both"/>
        <w:rPr/>
      </w:pPr>
      <w:r>
        <w:rPr>
          <w:rFonts w:ascii="Times New Roman;serif" w:hAnsi="Times New Roman;serif"/>
          <w:b w:val="false"/>
          <w:color w:val="000000"/>
          <w:sz w:val="24"/>
        </w:rPr>
        <w:t>3.2.Executive also agrees not to file any lawsuit based on claims she has released in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although she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participate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proceeding</w:t>
      </w:r>
      <w:r>
        <w:rPr>
          <w:color w:val="000000"/>
        </w:rPr>
        <w:t xml:space="preserve"> </w:t>
      </w:r>
      <w:r>
        <w:rPr>
          <w:rFonts w:ascii="Times New Roman;serif" w:hAnsi="Times New Roman;serif"/>
          <w:b w:val="false"/>
          <w:color w:val="000000"/>
          <w:sz w:val="24"/>
        </w:rPr>
        <w:t>conducted by an administrative agency, provided she agrees to waive her right to any monetary recovery.</w:t>
      </w:r>
    </w:p>
    <w:p>
      <w:pPr>
        <w:pStyle w:val="TextBody"/>
        <w:bidi w:val="0"/>
        <w:spacing w:lineRule="auto" w:line="288" w:before="241" w:after="283"/>
        <w:jc w:val="both"/>
        <w:rPr/>
      </w:pPr>
      <w:r>
        <w:rPr>
          <w:rFonts w:ascii="Times New Roman;serif" w:hAnsi="Times New Roman;serif"/>
          <w:b w:val="false"/>
          <w:color w:val="000000"/>
          <w:sz w:val="24"/>
        </w:rPr>
        <w:t>3.3.This release and waiver by</w:t>
      </w:r>
      <w:r>
        <w:rPr>
          <w:color w:val="000000"/>
        </w:rPr>
        <w:t xml:space="preserve"> </w:t>
      </w:r>
      <w:r>
        <w:rPr>
          <w:rFonts w:ascii="Times New Roman;serif" w:hAnsi="Times New Roman;serif"/>
          <w:b w:val="false"/>
          <w:color w:val="000000"/>
          <w:sz w:val="24"/>
        </w:rPr>
        <w:t>Executive does not apply</w:t>
      </w:r>
      <w:r>
        <w:rPr>
          <w:color w:val="000000"/>
        </w:rPr>
        <w:t xml:space="preserve"> </w:t>
      </w:r>
      <w:r>
        <w:rPr>
          <w:rFonts w:ascii="Times New Roman;serif" w:hAnsi="Times New Roman;serif"/>
          <w:b w:val="false"/>
          <w:color w:val="000000"/>
          <w:sz w:val="24"/>
        </w:rPr>
        <w:t>to any</w:t>
      </w:r>
      <w:r>
        <w:rPr>
          <w:color w:val="000000"/>
        </w:rPr>
        <w:t xml:space="preserve"> </w:t>
      </w:r>
      <w:r>
        <w:rPr>
          <w:rFonts w:ascii="Times New Roman;serif" w:hAnsi="Times New Roman;serif"/>
          <w:b w:val="false"/>
          <w:color w:val="000000"/>
          <w:sz w:val="24"/>
        </w:rPr>
        <w:t>claims or rights under the Age Discrimination in Employment Act based on events that take place after the date on which she signs this Agreement or claims to enforce this Agreement.</w:t>
      </w:r>
    </w:p>
    <w:p>
      <w:pPr>
        <w:pStyle w:val="TextBody"/>
        <w:bidi w:val="0"/>
        <w:spacing w:lineRule="auto" w:line="288" w:before="240" w:after="283"/>
        <w:jc w:val="both"/>
        <w:rPr/>
      </w:pPr>
      <w:r>
        <w:rPr>
          <w:rFonts w:ascii="Times New Roman;serif" w:hAnsi="Times New Roman;serif"/>
          <w:b w:val="false"/>
          <w:color w:val="000000"/>
          <w:sz w:val="24"/>
        </w:rPr>
        <w:t>3.4.Executive understands that nothing</w:t>
      </w:r>
      <w:r>
        <w:rPr>
          <w:color w:val="000000"/>
        </w:rPr>
        <w:t xml:space="preserve"> </w:t>
      </w:r>
      <w:r>
        <w:rPr>
          <w:rFonts w:ascii="Times New Roman;serif" w:hAnsi="Times New Roman;serif"/>
          <w:b w:val="false"/>
          <w:color w:val="000000"/>
          <w:sz w:val="24"/>
        </w:rPr>
        <w:t>in this Agreement prevents her from reporting possible violations of federal or state law or regulation to any governmental agency or entity, including the Equal Employment Opportunity Commission and the Securities and Exchange Commission, or making other disclosures that are protected under the whistleblower provisions of federal or state law or regulation.</w:t>
      </w:r>
      <w:r>
        <w:rPr>
          <w:color w:val="000000"/>
        </w:rPr>
        <w:t xml:space="preserve"> </w:t>
      </w:r>
      <w:r>
        <w:rPr>
          <w:rFonts w:ascii="Times New Roman;serif" w:hAnsi="Times New Roman;serif"/>
          <w:b w:val="false"/>
          <w:color w:val="000000"/>
          <w:sz w:val="24"/>
        </w:rPr>
        <w:t>Executive further understands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limit</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ability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complaint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participate in any investigation or proceeding that may be conducted by any government agency, including by providing documents or other information, without notice to Workiva, provided Executive agrees to waive rights to any monetary recovery, except for any monetary recovery as a whistleblower.</w:t>
      </w:r>
    </w:p>
    <w:p>
      <w:pPr>
        <w:pStyle w:val="TextBody"/>
        <w:bidi w:val="0"/>
        <w:spacing w:before="0" w:after="1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3.5.Executive confirms that her decision to enter into this Agreement is not the result of any disagreement regarding the Company’s financial statements or disclosures, and that as of the date of execution hereof, Executive is not aware of any reason she would not be able to sign any documents or certifications required to be filed with the Securities and Exchange Commission.</w: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3.6.On the Termination Date, Executive agrees to execute a second release in a form substantially similar to Exhibit “A” to this Agreement, to ensure that the release encompasses all claims through the Termination Date.</w:t>
      </w:r>
    </w:p>
    <w:p>
      <w:pPr>
        <w:pStyle w:val="TextBody"/>
        <w:bidi w:val="0"/>
        <w:spacing w:lineRule="auto" w:line="321" w:before="360" w:after="80"/>
        <w:ind w:left="0" w:right="0" w:hanging="360"/>
        <w:jc w:val="both"/>
        <w:rPr/>
      </w:pPr>
      <w:r>
        <w:rPr>
          <w:rFonts w:ascii="Times New Roman;serif" w:hAnsi="Times New Roman;serif"/>
          <w:b/>
          <w:color w:val="000000"/>
          <w:sz w:val="24"/>
        </w:rPr>
        <w:t>4.</w:t>
      </w:r>
      <w:r>
        <w:rPr>
          <w:rFonts w:ascii="Times New Roman;serif" w:hAnsi="Times New Roman;serif"/>
          <w:b/>
          <w:color w:val="000000"/>
          <w:sz w:val="22"/>
        </w:rPr>
        <w:t>CONFIDENTIALITY.</w:t>
      </w:r>
    </w:p>
    <w:p>
      <w:pPr>
        <w:pStyle w:val="TextBody"/>
        <w:bidi w:val="0"/>
        <w:spacing w:lineRule="auto" w:line="288" w:before="235" w:after="283"/>
        <w:jc w:val="both"/>
        <w:rPr/>
      </w:pPr>
      <w:r>
        <w:rPr>
          <w:rFonts w:ascii="Times New Roman;serif" w:hAnsi="Times New Roman;serif"/>
          <w:b w:val="false"/>
          <w:color w:val="000000"/>
          <w:sz w:val="24"/>
        </w:rPr>
        <w:t>4.1.Executive agrees not to disclose the existence or terms of this Agreement to any third party</w:t>
      </w:r>
      <w:r>
        <w:rPr>
          <w:color w:val="000000"/>
        </w:rPr>
        <w:t xml:space="preserve"> </w:t>
      </w:r>
      <w:r>
        <w:rPr>
          <w:rFonts w:ascii="Times New Roman;serif" w:hAnsi="Times New Roman;serif"/>
          <w:b w:val="false"/>
          <w:color w:val="000000"/>
          <w:sz w:val="24"/>
        </w:rPr>
        <w:t>without the prior written consent of Company, except that she may</w:t>
      </w:r>
      <w:r>
        <w:rPr>
          <w:color w:val="000000"/>
        </w:rPr>
        <w:t xml:space="preserve"> </w:t>
      </w:r>
      <w:r>
        <w:rPr>
          <w:rFonts w:ascii="Times New Roman;serif" w:hAnsi="Times New Roman;serif"/>
          <w:b w:val="false"/>
          <w:color w:val="000000"/>
          <w:sz w:val="24"/>
        </w:rPr>
        <w:t>discuss the terms of this Agreement with her attorney, spouse, tax advisor and as required by law.</w: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 xml:space="preserve">4.2.Executive acknowledges and agrees to abide by her ongoing obligations, pursuant to the terms of the Confidential Information and Invention Assignment Agreement, effective September 11, 2008. </w:t>
      </w:r>
    </w:p>
    <w:p>
      <w:pPr>
        <w:pStyle w:val="TextBody"/>
        <w:bidi w:val="0"/>
        <w:spacing w:lineRule="auto" w:line="321" w:before="360" w:after="80"/>
        <w:ind w:left="0" w:right="0" w:hanging="360"/>
        <w:jc w:val="both"/>
        <w:rPr/>
      </w:pPr>
      <w:r>
        <w:rPr>
          <w:rFonts w:ascii="Times New Roman;serif" w:hAnsi="Times New Roman;serif"/>
          <w:b/>
          <w:color w:val="000000"/>
          <w:sz w:val="24"/>
        </w:rPr>
        <w:t>5.</w:t>
      </w:r>
      <w:r>
        <w:rPr>
          <w:rFonts w:ascii="Times New Roman;serif" w:hAnsi="Times New Roman;serif"/>
          <w:b/>
          <w:color w:val="000000"/>
          <w:sz w:val="22"/>
        </w:rPr>
        <w:t>RETURN OF PROPERTY.</w:t>
      </w:r>
    </w:p>
    <w:p>
      <w:pPr>
        <w:pStyle w:val="TextBody"/>
        <w:bidi w:val="0"/>
        <w:spacing w:lineRule="auto" w:line="288" w:before="235" w:after="283"/>
        <w:jc w:val="both"/>
        <w:rPr/>
      </w:pPr>
      <w:r>
        <w:rPr>
          <w:rFonts w:ascii="Times New Roman;serif" w:hAnsi="Times New Roman;serif"/>
          <w:b w:val="false"/>
          <w:color w:val="000000"/>
          <w:sz w:val="24"/>
        </w:rPr>
        <w:t>5.1.Executive agrees promptly to return all property</w:t>
      </w:r>
      <w:r>
        <w:rPr>
          <w:color w:val="000000"/>
        </w:rPr>
        <w:t xml:space="preserve"> </w:t>
      </w:r>
      <w:r>
        <w:rPr>
          <w:rFonts w:ascii="Times New Roman;serif" w:hAnsi="Times New Roman;serif"/>
          <w:b w:val="false"/>
          <w:color w:val="000000"/>
          <w:sz w:val="24"/>
        </w:rPr>
        <w:t>of Company in her possession or control, wherever located, including all documents and files pertaining to Company</w:t>
      </w:r>
      <w:r>
        <w:rPr>
          <w:color w:val="000000"/>
        </w:rPr>
        <w:t xml:space="preserve"> </w:t>
      </w:r>
      <w:r>
        <w:rPr>
          <w:rFonts w:ascii="Times New Roman;serif" w:hAnsi="Times New Roman;serif"/>
          <w:b w:val="false"/>
          <w:color w:val="000000"/>
          <w:sz w:val="24"/>
        </w:rPr>
        <w:t>or its interests,</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 by no later than the Termination Date.</w:t>
      </w:r>
    </w:p>
    <w:p>
      <w:pPr>
        <w:pStyle w:val="TextBody"/>
        <w:bidi w:val="0"/>
        <w:spacing w:lineRule="auto" w:line="321" w:before="360" w:after="80"/>
        <w:ind w:left="0" w:right="0" w:hanging="360"/>
        <w:jc w:val="both"/>
        <w:rPr/>
      </w:pPr>
      <w:r>
        <w:rPr>
          <w:rFonts w:ascii="Times New Roman;serif" w:hAnsi="Times New Roman;serif"/>
          <w:b/>
          <w:color w:val="000000"/>
          <w:sz w:val="24"/>
        </w:rPr>
        <w:t>6.</w:t>
      </w:r>
      <w:r>
        <w:rPr>
          <w:rFonts w:ascii="Times New Roman;serif" w:hAnsi="Times New Roman;serif"/>
          <w:b/>
          <w:color w:val="000000"/>
          <w:sz w:val="22"/>
        </w:rPr>
        <w:t>NON-DISPARAGEMENT.</w:t>
      </w:r>
    </w:p>
    <w:p>
      <w:pPr>
        <w:pStyle w:val="TextBody"/>
        <w:bidi w:val="0"/>
        <w:spacing w:lineRule="auto" w:line="288" w:before="236" w:after="283"/>
        <w:jc w:val="both"/>
        <w:rPr/>
      </w:pPr>
      <w:r>
        <w:rPr>
          <w:rFonts w:ascii="Times New Roman;serif" w:hAnsi="Times New Roman;serif"/>
          <w:b w:val="false"/>
          <w:color w:val="000000"/>
          <w:sz w:val="24"/>
        </w:rPr>
        <w:t>6.1.Executive</w:t>
      </w:r>
      <w:r>
        <w:rPr>
          <w:color w:val="000000"/>
        </w:rPr>
        <w:t xml:space="preserve"> </w:t>
      </w:r>
      <w:r>
        <w:rPr>
          <w:rFonts w:ascii="Times New Roman;serif" w:hAnsi="Times New Roman;serif"/>
          <w:b w:val="false"/>
          <w:color w:val="000000"/>
          <w:sz w:val="24"/>
        </w:rPr>
        <w:t>confirms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she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statements to any third party about any of the Released Parties that are intended or reasonably likely to disparage any of them in any way.</w:t>
      </w:r>
      <w:r>
        <w:rPr>
          <w:color w:val="000000"/>
        </w:rPr>
        <w:t xml:space="preserve"> </w:t>
      </w:r>
      <w:r>
        <w:rPr>
          <w:rFonts w:ascii="Times New Roman;serif" w:hAnsi="Times New Roman;serif"/>
          <w:b w:val="false"/>
          <w:color w:val="000000"/>
          <w:sz w:val="24"/>
        </w:rPr>
        <w:t>However, she is not prohibited from testifying truthfully under oath or providing truthful information in connection with an agency proceeding.</w:t>
      </w:r>
    </w:p>
    <w:p>
      <w:pPr>
        <w:pStyle w:val="TextBody"/>
        <w:bidi w:val="0"/>
        <w:spacing w:lineRule="auto" w:line="288" w:before="236" w:after="283"/>
        <w:jc w:val="both"/>
        <w:rPr/>
      </w:pPr>
      <w:r>
        <w:rPr>
          <w:rFonts w:ascii="Times New Roman;serif" w:hAnsi="Times New Roman;serif"/>
          <w:b w:val="false"/>
          <w:color w:val="000000"/>
          <w:sz w:val="24"/>
        </w:rPr>
        <w:t>6.2.Company, through its officers and directors, confirms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statements to any third party about Executive that are intended or reasonably likely to disparage her in any way.</w:t>
      </w:r>
    </w:p>
    <w:p>
      <w:pPr>
        <w:pStyle w:val="TextBody"/>
        <w:bidi w:val="0"/>
        <w:spacing w:lineRule="auto" w:line="321" w:before="360" w:after="80"/>
        <w:ind w:left="0" w:right="0" w:hanging="360"/>
        <w:jc w:val="both"/>
        <w:rPr/>
      </w:pPr>
      <w:r>
        <w:rPr>
          <w:rFonts w:ascii="Times New Roman;serif" w:hAnsi="Times New Roman;serif"/>
          <w:b/>
          <w:color w:val="000000"/>
          <w:sz w:val="24"/>
        </w:rPr>
        <w:t>7.</w:t>
      </w:r>
      <w:r>
        <w:rPr>
          <w:rFonts w:ascii="Times New Roman;serif" w:hAnsi="Times New Roman;serif"/>
          <w:b/>
          <w:color w:val="000000"/>
          <w:sz w:val="22"/>
        </w:rPr>
        <w:t>KNOWING AND VOLUNTARY RELEASE.</w:t>
      </w:r>
    </w:p>
    <w:p>
      <w:pPr>
        <w:pStyle w:val="TextBody"/>
        <w:bidi w:val="0"/>
        <w:spacing w:lineRule="auto" w:line="288" w:before="235" w:after="283"/>
        <w:jc w:val="both"/>
        <w:rPr/>
      </w:pPr>
      <w:r>
        <w:rPr>
          <w:rFonts w:ascii="Times New Roman;serif" w:hAnsi="Times New Roman;serif"/>
          <w:b w:val="false"/>
          <w:color w:val="000000"/>
          <w:sz w:val="24"/>
        </w:rPr>
        <w:t>7.1.Executive has</w:t>
      </w:r>
      <w:r>
        <w:rPr>
          <w:color w:val="000000"/>
        </w:rPr>
        <w:t xml:space="preserve"> </w:t>
      </w:r>
      <w:r>
        <w:rPr>
          <w:rFonts w:ascii="Times New Roman;serif" w:hAnsi="Times New Roman;serif"/>
          <w:b w:val="false"/>
          <w:color w:val="000000"/>
          <w:sz w:val="24"/>
        </w:rPr>
        <w:t xml:space="preserve">21 days from the date on which she receives this Agreement to decide whether she intends to execute it. </w:t>
      </w:r>
    </w:p>
    <w:p>
      <w:pPr>
        <w:pStyle w:val="TextBody"/>
        <w:bidi w:val="0"/>
        <w:spacing w:before="0" w:after="16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91" w:after="283"/>
        <w:jc w:val="both"/>
        <w:rPr/>
      </w:pPr>
      <w:r>
        <w:rPr/>
      </w:r>
    </w:p>
    <w:p>
      <w:pPr>
        <w:pStyle w:val="TextBody"/>
        <w:bidi w:val="0"/>
        <w:spacing w:lineRule="auto" w:line="288" w:before="1" w:after="283"/>
        <w:jc w:val="both"/>
        <w:rPr/>
      </w:pPr>
      <w:r>
        <w:rPr>
          <w:rFonts w:ascii="Times New Roman;serif" w:hAnsi="Times New Roman;serif"/>
          <w:b w:val="false"/>
          <w:color w:val="000000"/>
          <w:sz w:val="24"/>
        </w:rPr>
        <w:t>7.2.Executive</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she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knowingly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voluntarily</w:t>
      </w:r>
      <w:r>
        <w:rPr>
          <w:color w:val="000000"/>
        </w:rPr>
        <w:t xml:space="preserve"> </w:t>
      </w:r>
      <w:r>
        <w:rPr>
          <w:rFonts w:ascii="Times New Roman;serif" w:hAnsi="Times New Roman;serif"/>
          <w:b w:val="false"/>
          <w:color w:val="000000"/>
          <w:sz w:val="24"/>
        </w:rPr>
        <w:t>and not as a result of threats or coercion.</w:t>
      </w:r>
    </w:p>
    <w:p>
      <w:pPr>
        <w:pStyle w:val="TextBody"/>
        <w:bidi w:val="0"/>
        <w:spacing w:lineRule="auto" w:line="321" w:before="360" w:after="80"/>
        <w:jc w:val="both"/>
        <w:rPr/>
      </w:pPr>
      <w:r>
        <w:rPr>
          <w:rFonts w:ascii="Times New Roman;serif" w:hAnsi="Times New Roman;serif"/>
          <w:b w:val="false"/>
          <w:color w:val="000000"/>
          <w:sz w:val="24"/>
        </w:rPr>
        <w:t>7.3.</w:t>
      </w:r>
      <w:r>
        <w:rPr>
          <w:rFonts w:ascii="Times New Roman;serif" w:hAnsi="Times New Roman;serif"/>
          <w:b w:val="false"/>
          <w:color w:val="000000"/>
          <w:sz w:val="22"/>
        </w:rPr>
        <w:t>EXECUTIVE IS HEREBY ADVISED TO CONSULT WITH AN ATTORNEY BEFORE SIGNING THIS AGREEMENT.</w:t>
      </w:r>
    </w:p>
    <w:p>
      <w:pPr>
        <w:pStyle w:val="TextBody"/>
        <w:bidi w:val="0"/>
        <w:spacing w:lineRule="auto" w:line="288" w:before="240" w:after="283"/>
        <w:ind w:left="0" w:right="0" w:hanging="720"/>
        <w:jc w:val="both"/>
        <w:rPr/>
      </w:pPr>
      <w:r>
        <w:rPr>
          <w:rFonts w:ascii="Times New Roman;serif" w:hAnsi="Times New Roman;serif"/>
          <w:b/>
          <w:color w:val="000000"/>
          <w:sz w:val="24"/>
        </w:rPr>
        <w:t>8.ENTIRE</w:t>
      </w:r>
      <w:r>
        <w:rPr>
          <w:color w:val="000000"/>
        </w:rPr>
        <w:t xml:space="preserve"> </w:t>
      </w:r>
      <w:r>
        <w:rPr>
          <w:rFonts w:ascii="Times New Roman;serif" w:hAnsi="Times New Roman;serif"/>
          <w:b/>
          <w:color w:val="000000"/>
          <w:sz w:val="24"/>
        </w:rPr>
        <w:t>AGREEMENT</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SEVERABILITY.</w:t>
      </w:r>
    </w:p>
    <w:p>
      <w:pPr>
        <w:pStyle w:val="TextBody"/>
        <w:bidi w:val="0"/>
        <w:spacing w:lineRule="auto" w:line="288" w:before="235" w:after="283"/>
        <w:jc w:val="both"/>
        <w:rPr/>
      </w:pPr>
      <w:r>
        <w:rPr>
          <w:rFonts w:ascii="Times New Roman;serif" w:hAnsi="Times New Roman;serif"/>
          <w:b w:val="false"/>
          <w:color w:val="000000"/>
          <w:sz w:val="24"/>
        </w:rPr>
        <w:t>8.1.The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sets</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them and</w:t>
      </w:r>
      <w:r>
        <w:rPr>
          <w:color w:val="000000"/>
        </w:rPr>
        <w:t xml:space="preserve"> </w:t>
      </w:r>
      <w:r>
        <w:rPr>
          <w:rFonts w:ascii="Times New Roman;serif" w:hAnsi="Times New Roman;serif"/>
          <w:b w:val="false"/>
          <w:color w:val="000000"/>
          <w:sz w:val="24"/>
        </w:rPr>
        <w:t>supersedes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understanding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exception of those terms of the Employment Agreement which expressly survive the termination of Executive’s employment.</w:t>
      </w:r>
    </w:p>
    <w:p>
      <w:pPr>
        <w:pStyle w:val="TextBody"/>
        <w:bidi w:val="0"/>
        <w:spacing w:lineRule="auto" w:line="288" w:before="240" w:after="283"/>
        <w:jc w:val="both"/>
        <w:rPr/>
      </w:pPr>
      <w:r>
        <w:rPr>
          <w:rFonts w:ascii="Times New Roman;serif" w:hAnsi="Times New Roman;serif"/>
          <w:b w:val="false"/>
          <w:color w:val="000000"/>
          <w:sz w:val="24"/>
        </w:rPr>
        <w:t>8.2.The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portion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invalid or</w:t>
      </w:r>
      <w:r>
        <w:rPr>
          <w:color w:val="000000"/>
        </w:rPr>
        <w:t xml:space="preserve"> </w:t>
      </w:r>
      <w:r>
        <w:rPr>
          <w:rFonts w:ascii="Times New Roman;serif" w:hAnsi="Times New Roman;serif"/>
          <w:b w:val="false"/>
          <w:color w:val="000000"/>
          <w:sz w:val="24"/>
        </w:rPr>
        <w:t>legally</w:t>
      </w:r>
      <w:r>
        <w:rPr>
          <w:color w:val="000000"/>
        </w:rPr>
        <w:t xml:space="preserve"> </w:t>
      </w: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remaining</w:t>
      </w:r>
      <w:r>
        <w:rPr>
          <w:color w:val="000000"/>
        </w:rPr>
        <w:t xml:space="preserve"> </w:t>
      </w:r>
      <w:r>
        <w:rPr>
          <w:rFonts w:ascii="Times New Roman;serif" w:hAnsi="Times New Roman;serif"/>
          <w:b w:val="false"/>
          <w:color w:val="000000"/>
          <w:sz w:val="24"/>
        </w:rPr>
        <w:t>portions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affected</w:t>
      </w:r>
      <w:r>
        <w:rPr>
          <w:color w:val="000000"/>
        </w:rPr>
        <w:t xml:space="preserve"> </w:t>
      </w:r>
      <w:r>
        <w:rPr>
          <w:rFonts w:ascii="Times New Roman;serif" w:hAnsi="Times New Roman;serif"/>
          <w:b w:val="false"/>
          <w:color w:val="000000"/>
          <w:sz w:val="24"/>
        </w:rPr>
        <w:t>and will be given full effect.</w:t>
      </w:r>
    </w:p>
    <w:p>
      <w:pPr>
        <w:pStyle w:val="TextBody"/>
        <w:bidi w:val="0"/>
        <w:spacing w:lineRule="auto" w:line="321" w:before="246" w:after="80"/>
        <w:ind w:left="0" w:right="0" w:hanging="360"/>
        <w:jc w:val="both"/>
        <w:rPr/>
      </w:pPr>
      <w:r>
        <w:rPr>
          <w:rFonts w:ascii="Times New Roman;serif" w:hAnsi="Times New Roman;serif"/>
          <w:b/>
          <w:color w:val="000000"/>
          <w:sz w:val="24"/>
        </w:rPr>
        <w:t>9.</w:t>
      </w:r>
      <w:r>
        <w:rPr>
          <w:rFonts w:ascii="Times New Roman;serif" w:hAnsi="Times New Roman;serif"/>
          <w:b/>
          <w:color w:val="000000"/>
          <w:sz w:val="22"/>
        </w:rPr>
        <w:t>APPLICABLE</w:t>
      </w:r>
      <w:r>
        <w:rPr>
          <w:color w:val="000000"/>
        </w:rPr>
        <w:t xml:space="preserve"> </w:t>
      </w:r>
      <w:r>
        <w:rPr>
          <w:rFonts w:ascii="Times New Roman;serif" w:hAnsi="Times New Roman;serif"/>
          <w:b/>
          <w:color w:val="000000"/>
          <w:sz w:val="22"/>
        </w:rPr>
        <w:t>LAW.</w:t>
      </w:r>
    </w:p>
    <w:p>
      <w:pPr>
        <w:pStyle w:val="TextBody"/>
        <w:bidi w:val="0"/>
        <w:spacing w:lineRule="auto" w:line="288" w:before="235" w:after="283"/>
        <w:ind w:left="0" w:right="0" w:hanging="720"/>
        <w:jc w:val="both"/>
        <w:rPr/>
      </w:pPr>
      <w:r>
        <w:rPr>
          <w:rFonts w:ascii="Times New Roman;serif" w:hAnsi="Times New Roman;serif"/>
          <w:b w:val="false"/>
          <w:color w:val="000000"/>
          <w:sz w:val="24"/>
        </w:rPr>
        <w:t>9.1.This</w:t>
      </w:r>
      <w:r>
        <w:rPr>
          <w:color w:val="000000"/>
        </w:rPr>
        <w:t xml:space="preserve"> </w:t>
      </w:r>
      <w:r>
        <w:rPr>
          <w:rFonts w:ascii="Times New Roman;serif" w:hAnsi="Times New Roman;serif"/>
          <w:b w:val="false"/>
          <w:color w:val="000000"/>
          <w:sz w:val="24"/>
        </w:rPr>
        <w:t>Agreement is</w:t>
      </w:r>
      <w:r>
        <w:rPr>
          <w:color w:val="000000"/>
        </w:rPr>
        <w:t xml:space="preserve"> </w:t>
      </w:r>
      <w:r>
        <w:rPr>
          <w:rFonts w:ascii="Times New Roman;serif" w:hAnsi="Times New Roman;serif"/>
          <w:b w:val="false"/>
          <w:color w:val="000000"/>
          <w:sz w:val="24"/>
        </w:rPr>
        <w:t>governed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 of the</w:t>
      </w:r>
      <w:r>
        <w:rPr>
          <w:color w:val="000000"/>
        </w:rPr>
        <w:t xml:space="preserve"> </w:t>
      </w:r>
      <w:r>
        <w:rPr>
          <w:rFonts w:ascii="Times New Roman;serif" w:hAnsi="Times New Roman;serif"/>
          <w:b w:val="false"/>
          <w:color w:val="000000"/>
          <w:sz w:val="24"/>
        </w:rPr>
        <w:t>state of Iowa.</w:t>
      </w:r>
    </w:p>
    <w:p>
      <w:pPr>
        <w:pStyle w:val="TextBody"/>
        <w:bidi w:val="0"/>
        <w:spacing w:lineRule="auto" w:line="321" w:before="360" w:after="80"/>
        <w:ind w:left="0" w:right="0" w:hanging="360"/>
        <w:jc w:val="both"/>
        <w:rPr/>
      </w:pPr>
      <w:r>
        <w:rPr>
          <w:rFonts w:ascii="Times New Roman;serif" w:hAnsi="Times New Roman;serif"/>
          <w:b/>
          <w:color w:val="000000"/>
          <w:sz w:val="24"/>
        </w:rPr>
        <w:t>10.</w:t>
      </w:r>
      <w:r>
        <w:rPr>
          <w:rFonts w:ascii="Times New Roman;serif" w:hAnsi="Times New Roman;serif"/>
          <w:b/>
          <w:color w:val="000000"/>
          <w:sz w:val="22"/>
        </w:rPr>
        <w:t>EFFECTIVE</w:t>
      </w:r>
      <w:r>
        <w:rPr>
          <w:color w:val="000000"/>
        </w:rPr>
        <w:t xml:space="preserve"> </w:t>
      </w:r>
      <w:r>
        <w:rPr>
          <w:rFonts w:ascii="Times New Roman;serif" w:hAnsi="Times New Roman;serif"/>
          <w:b/>
          <w:color w:val="000000"/>
          <w:sz w:val="22"/>
        </w:rPr>
        <w:t>DATE.</w:t>
      </w:r>
    </w:p>
    <w:p>
      <w:pPr>
        <w:pStyle w:val="TextBody"/>
        <w:bidi w:val="0"/>
        <w:spacing w:lineRule="auto" w:line="288" w:before="235" w:after="283"/>
        <w:jc w:val="both"/>
        <w:rPr/>
      </w:pPr>
      <w:r>
        <w:rPr>
          <w:rFonts w:ascii="Times New Roman;serif" w:hAnsi="Times New Roman;serif"/>
          <w:b w:val="false"/>
          <w:color w:val="000000"/>
          <w:sz w:val="24"/>
        </w:rPr>
        <w:t xml:space="preserve">10.1.To accept this Agreement, Executive must sign below and deliver it to Company, c/o Emily Forrester, </w:t>
      </w:r>
      <w:r>
        <w:rPr>
          <w:rFonts w:ascii="Times New Roman;serif" w:hAnsi="Times New Roman;serif"/>
          <w:b w:val="false"/>
          <w:color w:val="000000"/>
          <w:sz w:val="24"/>
          <w:u w:val="single"/>
        </w:rPr>
        <w:t>eforrester@workiva.com.</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10.2.Executive may revoke this Agreement during the seven-day period immediately following her execution of the Agreement by delivering a written notice of revocation to Company, c/o Ms. Forrester.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10.3.Assuming no revocation, this Agreement will become final and binding on both Parties on the eighth day following Executive’s execution of this Agreement (“Effective Date”).</w:t>
      </w:r>
    </w:p>
    <w:p>
      <w:pPr>
        <w:pStyle w:val="TextBody"/>
        <w:bidi w:val="0"/>
        <w:spacing w:before="0" w:after="16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HAVING READ AND UNDERSTOOD THIS AGREEMENT, CONSULTED COUNSEL OR VOLUNTARILY ELECTED NOT TO, AND HAVING HAD SUFFICIENT TIME TO CONSIDER WHETHER TO ENTER INTO THIS AGREEMENT, THE UNDERSIGNED HEREBY EXECUTE THIS AGREEMENT.</w:t>
      </w:r>
    </w:p>
    <w:p>
      <w:pPr>
        <w:pStyle w:val="TextBody"/>
        <w:bidi w:val="0"/>
        <w:spacing w:before="0" w:after="0"/>
        <w:jc w:val="both"/>
        <w:rPr/>
      </w:pPr>
      <w:r>
        <w:rPr/>
      </w:r>
    </w:p>
    <w:p>
      <w:pPr>
        <w:pStyle w:val="TextBody"/>
        <w:bidi w:val="0"/>
        <w:spacing w:before="108" w:after="283"/>
        <w:jc w:val="both"/>
        <w:rPr/>
      </w:pPr>
      <w:r>
        <w:rPr/>
      </w:r>
    </w:p>
    <w:tbl>
      <w:tblPr>
        <w:tblW w:w="5294" w:type="dxa"/>
        <w:jc w:val="left"/>
        <w:tblInd w:w="0" w:type="dxa"/>
        <w:tblLayout w:type="fixed"/>
        <w:tblCellMar>
          <w:top w:w="28" w:type="dxa"/>
          <w:left w:w="28" w:type="dxa"/>
          <w:bottom w:w="28" w:type="dxa"/>
          <w:right w:w="28" w:type="dxa"/>
        </w:tblCellMar>
      </w:tblPr>
      <w:tblGrid>
        <w:gridCol w:w="842"/>
        <w:gridCol w:w="740"/>
        <w:gridCol w:w="742"/>
        <w:gridCol w:w="870"/>
        <w:gridCol w:w="870"/>
        <w:gridCol w:w="1230"/>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tLeast" w:line="266" w:before="0" w:after="0"/>
              <w:jc w:val="both"/>
              <w:rPr>
                <w:rFonts w:ascii="Times New Roman;serif" w:hAnsi="Times New Roman;serif"/>
                <w:b/>
                <w:color w:val="000000"/>
                <w:sz w:val="22"/>
              </w:rPr>
            </w:pPr>
            <w:r>
              <w:rPr>
                <w:rFonts w:ascii="Times New Roman;serif" w:hAnsi="Times New Roman;serif"/>
                <w:b/>
                <w:color w:val="000000"/>
                <w:sz w:val="22"/>
              </w:rPr>
              <w:t>JILL KLINDT</w:t>
            </w:r>
          </w:p>
          <w:p>
            <w:pPr>
              <w:pStyle w:val="TableContents"/>
              <w:bidi w:val="0"/>
              <w:spacing w:before="0" w:after="0"/>
              <w:jc w:val="both"/>
              <w:rPr/>
            </w:pPr>
            <w:r>
              <w:rPr/>
            </w:r>
          </w:p>
          <w:p>
            <w:pPr>
              <w:pStyle w:val="TableContents"/>
              <w:bidi w:val="0"/>
              <w:spacing w:lineRule="auto" w:line="288" w:before="82" w:after="283"/>
              <w:jc w:val="both"/>
              <w:rPr>
                <w:rFonts w:ascii="Times New Roman;serif" w:hAnsi="Times New Roman;serif"/>
                <w:b w:val="false"/>
                <w:color w:val="000000"/>
                <w:sz w:val="22"/>
              </w:rPr>
            </w:pPr>
            <w:r>
              <w:rPr>
                <w:rFonts w:ascii="Times New Roman;serif" w:hAnsi="Times New Roman;serif"/>
                <w:b w:val="false"/>
                <w:color w:val="000000"/>
                <w:sz w:val="22"/>
              </w:rPr>
              <w:t>/s/ Jill Kindt</w:t>
            </w:r>
          </w:p>
          <w:p>
            <w:pPr>
              <w:pStyle w:val="TableContents"/>
              <w:bidi w:val="0"/>
              <w:spacing w:before="0" w:after="0"/>
              <w:jc w:val="both"/>
              <w:rPr/>
            </w:pPr>
            <w:r>
              <w:rPr/>
            </w:r>
          </w:p>
          <w:p>
            <w:pPr>
              <w:pStyle w:val="TableContents"/>
              <w:bidi w:val="0"/>
              <w:spacing w:lineRule="auto" w:line="288" w:before="261" w:after="283"/>
              <w:jc w:val="both"/>
              <w:rPr>
                <w:rFonts w:ascii="Times New Roman;serif" w:hAnsi="Times New Roman;serif"/>
                <w:b w:val="false"/>
                <w:color w:val="000000"/>
                <w:sz w:val="22"/>
              </w:rPr>
            </w:pPr>
            <w:r>
              <w:rPr>
                <w:rFonts w:ascii="Times New Roman;serif" w:hAnsi="Times New Roman;serif"/>
                <w:b w:val="false"/>
                <w:color w:val="000000"/>
                <w:sz w:val="22"/>
              </w:rPr>
              <w:t>Date: October 30, 2025</w:t>
            </w:r>
          </w:p>
        </w:tc>
        <w:tc>
          <w:tcPr>
            <w:tcW w:w="2970" w:type="dxa"/>
            <w:gridSpan w:val="3"/>
            <w:tcBorders/>
            <w:tcMar>
              <w:top w:w="0" w:type="dxa"/>
              <w:left w:w="0" w:type="dxa"/>
              <w:bottom w:w="0" w:type="dxa"/>
              <w:right w:w="0" w:type="dxa"/>
            </w:tcMar>
            <w:vAlign w:val="center"/>
          </w:tcPr>
          <w:p>
            <w:pPr>
              <w:pStyle w:val="TableContents"/>
              <w:bidi w:val="0"/>
              <w:spacing w:lineRule="atLeast" w:line="266" w:before="0" w:after="0"/>
              <w:jc w:val="both"/>
              <w:rPr/>
            </w:pPr>
            <w:r>
              <w:rPr>
                <w:rFonts w:ascii="Times New Roman;serif" w:hAnsi="Times New Roman;serif"/>
                <w:b/>
                <w:color w:val="000000"/>
                <w:sz w:val="22"/>
              </w:rPr>
              <w:t>WORKIVA</w:t>
            </w:r>
            <w:r>
              <w:rPr>
                <w:color w:val="000000"/>
              </w:rPr>
              <w:t xml:space="preserve"> </w:t>
            </w:r>
            <w:r>
              <w:rPr>
                <w:rFonts w:ascii="Times New Roman;serif" w:hAnsi="Times New Roman;serif"/>
                <w:b/>
                <w:color w:val="000000"/>
                <w:sz w:val="22"/>
              </w:rPr>
              <w:t>INC.</w:t>
            </w:r>
          </w:p>
          <w:p>
            <w:pPr>
              <w:pStyle w:val="TableContents"/>
              <w:bidi w:val="0"/>
              <w:spacing w:lineRule="atLeast" w:line="552" w:before="13" w:after="283"/>
              <w:jc w:val="both"/>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 xml:space="preserve">/s/ Julie Iskow </w:t>
            </w:r>
          </w:p>
          <w:p>
            <w:pPr>
              <w:pStyle w:val="TableContents"/>
              <w:bidi w:val="0"/>
              <w:spacing w:lineRule="atLeast" w:line="552" w:before="13"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Title: Chief Executive Officer </w:t>
            </w:r>
          </w:p>
          <w:p>
            <w:pPr>
              <w:pStyle w:val="TableContents"/>
              <w:bidi w:val="0"/>
              <w:spacing w:lineRule="atLeast" w:line="552" w:before="13" w:after="283"/>
              <w:jc w:val="both"/>
              <w:rPr>
                <w:rFonts w:ascii="Times New Roman;serif" w:hAnsi="Times New Roman;serif"/>
                <w:b w:val="false"/>
                <w:color w:val="000000"/>
                <w:sz w:val="22"/>
              </w:rPr>
            </w:pPr>
            <w:r>
              <w:rPr>
                <w:rFonts w:ascii="Times New Roman;serif" w:hAnsi="Times New Roman;serif"/>
                <w:b w:val="false"/>
                <w:color w:val="000000"/>
                <w:sz w:val="22"/>
              </w:rPr>
              <w:t>Date: October 30, 2025</w:t>
            </w:r>
          </w:p>
        </w:tc>
      </w:tr>
    </w:tbl>
    <w:p>
      <w:pPr>
        <w:pStyle w:val="TextBody"/>
        <w:bidi w:val="0"/>
        <w:spacing w:before="0" w:after="160"/>
        <w:jc w:val="both"/>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SEVERANCE AGREEMENT AND GENERAL RELEASE</w:t>
      </w:r>
    </w:p>
    <w:p>
      <w:pPr>
        <w:pStyle w:val="TextBody"/>
        <w:bidi w:val="0"/>
        <w:spacing w:before="0" w:after="0"/>
        <w:jc w:val="left"/>
        <w:rPr/>
      </w:pPr>
      <w:r>
        <w:rPr/>
      </w:r>
    </w:p>
    <w:p>
      <w:pPr>
        <w:pStyle w:val="TextBody"/>
        <w:bidi w:val="0"/>
        <w:spacing w:lineRule="auto" w:line="288" w:before="60" w:after="283"/>
        <w:jc w:val="both"/>
        <w:rPr>
          <w:color w:val="000000"/>
        </w:rPr>
      </w:pPr>
      <w:r>
        <w:rPr>
          <w:color w:val="000000"/>
        </w:rPr>
        <w:t>    </w:t>
      </w:r>
      <w:r>
        <w:rPr>
          <w:rFonts w:ascii="Times New Roman;serif" w:hAnsi="Times New Roman;serif"/>
          <w:b w:val="false"/>
          <w:color w:val="000000"/>
          <w:sz w:val="24"/>
        </w:rPr>
        <w:t>This Severance Agreement and General Release (“Agreement”), dated October 30, 2025, is being entered into by Workiva Inc. (“Company”) and Michael D. Hawkins (“Executive”) (together, “Parties”).</w:t>
      </w:r>
    </w:p>
    <w:p>
      <w:pPr>
        <w:pStyle w:val="TextBody"/>
        <w:bidi w:val="0"/>
        <w:spacing w:before="60" w:after="283"/>
        <w:jc w:val="both"/>
        <w:rPr/>
      </w:pPr>
      <w:r>
        <w:rPr/>
      </w:r>
    </w:p>
    <w:p>
      <w:pPr>
        <w:pStyle w:val="TextBody"/>
        <w:bidi w:val="0"/>
        <w:spacing w:lineRule="auto" w:line="288" w:before="60" w:after="283"/>
        <w:jc w:val="both"/>
        <w:rPr>
          <w:color w:val="000000"/>
        </w:rPr>
      </w:pPr>
      <w:r>
        <w:rPr>
          <w:color w:val="000000"/>
        </w:rPr>
        <w:t>    </w:t>
      </w:r>
      <w:r>
        <w:rPr>
          <w:rFonts w:ascii="Times New Roman;serif" w:hAnsi="Times New Roman;serif"/>
          <w:b w:val="false"/>
          <w:color w:val="000000"/>
          <w:sz w:val="24"/>
        </w:rPr>
        <w:t xml:space="preserve">WHEREAS, the Parties previously entered into an Employment Agreement dated August 12, 2021; </w:t>
      </w:r>
    </w:p>
    <w:p>
      <w:pPr>
        <w:pStyle w:val="TextBody"/>
        <w:bidi w:val="0"/>
        <w:spacing w:before="60" w:after="283"/>
        <w:jc w:val="both"/>
        <w:rPr/>
      </w:pPr>
      <w:r>
        <w:rPr/>
      </w:r>
    </w:p>
    <w:p>
      <w:pPr>
        <w:pStyle w:val="TextBody"/>
        <w:bidi w:val="0"/>
        <w:spacing w:lineRule="auto" w:line="288" w:before="60" w:after="283"/>
        <w:jc w:val="both"/>
        <w:rPr>
          <w:color w:val="000000"/>
        </w:rPr>
      </w:pPr>
      <w:r>
        <w:rPr>
          <w:color w:val="000000"/>
        </w:rPr>
        <w:t>    </w:t>
      </w:r>
      <w:r>
        <w:rPr>
          <w:rFonts w:ascii="Times New Roman;serif" w:hAnsi="Times New Roman;serif"/>
          <w:b w:val="false"/>
          <w:color w:val="000000"/>
          <w:sz w:val="24"/>
        </w:rPr>
        <w:t xml:space="preserve">WHEREAS, the Company now wishes to terminate Executive’s employment without Cause, as defined in the Employment Agreement; </w:t>
      </w:r>
    </w:p>
    <w:p>
      <w:pPr>
        <w:pStyle w:val="TextBody"/>
        <w:bidi w:val="0"/>
        <w:spacing w:before="60" w:after="283"/>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Executive is entitled to certain payments and benefits under the Employment Agreement in exchange for a general release of claims;</w:t>
      </w:r>
    </w:p>
    <w:p>
      <w:pPr>
        <w:pStyle w:val="TextBody"/>
        <w:bidi w:val="0"/>
        <w:spacing w:before="60" w:after="283"/>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has adopted and maintains the Workiva Inc. 2014 Equity Incentive Plan (As Amended and Restated Effective May 30, 2024) (the “Plan”);</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Compensation Committee of the Company (“the Committee”) granted Executive:</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23,575 service-based vesting restricted stock units on February 1, 2023, 7,858 of which</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remain unvested;</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(ii) 23,502 service-based vesting restricted stock units on February 1, 2024, 15,668 of which remain unvested;</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(iii) 28,780 service-based vesting restricted stock units on February 3, 2025, 28,780 of which remain unvested;</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10,103 performance-based vesting restricted stock units on February 1, 2023, 3,368 of</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which remain unvested;</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10,072 performance-based vesting restricted stock units on February 1, 2024, 6,715 of</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which remain unvested; and</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12,334 performance-based vesting restricted stock units, 12,334 of which remain</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unvested (collectively, “Equity Awards”);</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Sections 9(c)(1) and 9(c)(2) of the Plan, the Committee may accelerate the vesting of restricted stock units granted under the Plan; and</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wish to resolve all matters related to Executive’s employment with and termination from Company in an amicable manner.</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both"/>
        <w:rPr>
          <w:color w:val="000000"/>
        </w:rPr>
      </w:pPr>
      <w:r>
        <w:rPr>
          <w:color w:val="000000"/>
        </w:rPr>
        <w:t>    </w:t>
      </w:r>
      <w:r>
        <w:rPr>
          <w:rFonts w:ascii="Times New Roman;serif" w:hAnsi="Times New Roman;serif"/>
          <w:b w:val="false"/>
          <w:color w:val="000000"/>
          <w:sz w:val="24"/>
        </w:rPr>
        <w:t>THEREFORE, in consideration of the mutual agreements and promises contained herein, the Parties agree as follows: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color w:val="000000"/>
          <w:sz w:val="24"/>
        </w:rPr>
        <w:t>1.</w:t>
      </w:r>
      <w:r>
        <w:rPr>
          <w:rFonts w:ascii="Times New Roman;serif" w:hAnsi="Times New Roman;serif"/>
          <w:b/>
          <w:color w:val="000000"/>
          <w:sz w:val="24"/>
        </w:rPr>
        <w:t>TERMINATION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1.1.Executive’s employment with Company is terminated effective November 5, 2025 (“Termination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1.2.Effective on the Termination Date, Executive will be deemed to have resigned from all positions that he held as an officer or member of the board of directors (or a committee thereof) of Company or any of its affiliates. </w:t>
      </w:r>
    </w:p>
    <w:p>
      <w:pPr>
        <w:pStyle w:val="TextBody"/>
        <w:bidi w:val="0"/>
        <w:spacing w:lineRule="auto" w:line="288" w:before="0" w:after="240"/>
        <w:jc w:val="both"/>
        <w:rPr/>
      </w:pPr>
      <w:r>
        <w:rPr>
          <w:rFonts w:ascii="Times New Roman;serif" w:hAnsi="Times New Roman;serif"/>
          <w:b/>
          <w:color w:val="000000"/>
          <w:sz w:val="24"/>
        </w:rPr>
        <w:t>2.</w:t>
      </w:r>
      <w:r>
        <w:rPr>
          <w:rFonts w:ascii="Times New Roman;serif" w:hAnsi="Times New Roman;serif"/>
          <w:b/>
          <w:color w:val="000000"/>
          <w:sz w:val="24"/>
        </w:rPr>
        <w:t>VALUABLE CONSIDERATION.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2.1.Company agrees to Executive the sum of $2,124,087.61 (“Separation Payment”). This sum is calculated as follows: </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2x sum of base salary + target bonus, or 2 x ($442,000 + $397,800) = $1,679,600, plus</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Prorated bonus, based on February 2025 bonus prorated through November 5, 2025, or $444,487.61.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2.2.The Separation Payment will be paid in a lump sum within 10 business days after the Termination Date and will be less required withholding.</w:t>
      </w:r>
    </w:p>
    <w:p>
      <w:pPr>
        <w:pStyle w:val="TextBody"/>
        <w:bidi w:val="0"/>
        <w:spacing w:lineRule="auto" w:line="288" w:before="235" w:after="240"/>
        <w:jc w:val="both"/>
        <w:rPr>
          <w:rFonts w:ascii="Times New Roman;serif" w:hAnsi="Times New Roman;serif"/>
          <w:b w:val="false"/>
          <w:color w:val="000000"/>
          <w:sz w:val="24"/>
        </w:rPr>
      </w:pPr>
      <w:r>
        <w:rPr>
          <w:rFonts w:ascii="Times New Roman;serif" w:hAnsi="Times New Roman;serif"/>
          <w:b w:val="false"/>
          <w:color w:val="000000"/>
          <w:sz w:val="24"/>
        </w:rPr>
        <w:t>2.3.Assuming Executive timely elects to continue his health insurance pursuant to COBRA, Company will pay the full premiums on his behalf for 18 months or until he is eligible for the benefits of another employer, whichever occurs first. All accrued but unused PTO will be paid out on Executive's final paycheck less required withholding.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2.4.Workiva will also accelerate the vesting of all Equity Awards unvested as of the Termination Date, subject to Executive’s timely execution and non-revocation of this Agreement. Any delays in the settlement or payment of such awards that are set forth in the applicable award agreement or the Workiva Inc. Nonqualified Deferred Compensation Plan, or that are required under § 409A of the Internal Revenue Code, will remain in effect. For the avoidance of doubt, (i) Equity Awards which are restricted stock units (other than performance stock units) will vest in full on the Termination Date, and (ii) Equity Awards which are performance stock units will vest at target performance.</w:t>
      </w:r>
    </w:p>
    <w:p>
      <w:pPr>
        <w:pStyle w:val="TextBody"/>
        <w:bidi w:val="0"/>
        <w:spacing w:lineRule="auto" w:line="288" w:before="235" w:after="240"/>
        <w:jc w:val="both"/>
        <w:rPr>
          <w:rFonts w:ascii="Times New Roman;serif" w:hAnsi="Times New Roman;serif"/>
          <w:b w:val="false"/>
          <w:color w:val="000000"/>
          <w:sz w:val="24"/>
        </w:rPr>
      </w:pPr>
      <w:r>
        <w:rPr>
          <w:rFonts w:ascii="Times New Roman;serif" w:hAnsi="Times New Roman;serif"/>
          <w:b w:val="false"/>
          <w:color w:val="000000"/>
          <w:sz w:val="24"/>
        </w:rPr>
        <w:t>2.5.If a Change in Control (as defined in the Employment Agreement) occurs within three months following the Termination Date, Executive will be entitled to receive an additional payment of $1,237,600 (i.e. 1x sum of base salary + target bonus), which is the additional amount due under Section 5.4 of the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2.6.Executive acknowledges that the benefits described above are being provided to him as required by the Employment Agreement and in exchange for his entering into this Agreement. </w:t>
      </w:r>
    </w:p>
    <w:p>
      <w:pPr>
        <w:pStyle w:val="TextBody"/>
        <w:bidi w:val="0"/>
        <w:spacing w:lineRule="auto" w:line="288" w:before="0" w:after="240"/>
        <w:jc w:val="both"/>
        <w:rPr/>
      </w:pPr>
      <w:r>
        <w:rPr>
          <w:rFonts w:ascii="Times New Roman;serif" w:hAnsi="Times New Roman;serif"/>
          <w:b/>
          <w:color w:val="000000"/>
          <w:sz w:val="24"/>
        </w:rPr>
        <w:t>3.</w:t>
      </w:r>
      <w:r>
        <w:rPr>
          <w:rFonts w:ascii="Times New Roman;serif" w:hAnsi="Times New Roman;serif"/>
          <w:b/>
          <w:color w:val="000000"/>
          <w:sz w:val="24"/>
        </w:rPr>
        <w:t>RELEASE, WAIVER AND COVENANTS NOT TO SUE.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3.1.Executive hereby releases and waives all claims and causes of action of any kind that he has, known and unknown, against Company, including its owners, officers, directors, parents, subsidiaries, Executives, affiliates, agents, attorneys, joint ventures, successors and/or assigns (Company together with these individuals and entities are referred to as the “Released Parties”). This release and waiver includes all claims and causes of action that he has under any federal, state or local law, including Title VII of the Civil Rights Act, the Americans with Disabilities Act, the Age Discrimination in Employment Act, the Executive Retirement Income Security Act and the Iowa Civil Rights Act. It also includes any common law claims, such as contract and tort claims.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3.2.Executive also agrees not to file any lawsuit based on claims he has released in this Agreement, although he may participate in an investigation or proceeding conducted by an administrative agency provided he agrees to waive his right to any monetary recovery.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3.3.Executive understands that nothing in this Agreement prevents him from reporting possible violations of federal or state law or regulation to any governmental agency or entity, including the Equal Employment Opportunity Commission and the Securities and Exchange Commission, or making other disclosures that are protected under the whistleblower provisions of federal or state law or regulation. Executive further understands that this Agreement does not limit his ability to file a complaint or participate in any investigation or proceeding that may be conducted by any government agency, including by providing documents or other information, without notice to Workiva, provided Executive agrees to waive rights to any monetary recovery, except for any monetary recovery as a whistleblower.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3.4.This release and waiver by Executive does not apply to any claims or rights under the Age Discrimination in Employment Act based on events that take place after the date on which he signs this Agreement or claims to enforce this Agreement</w:t>
      </w:r>
    </w:p>
    <w:p>
      <w:pPr>
        <w:pStyle w:val="TextBody"/>
        <w:bidi w:val="0"/>
        <w:spacing w:lineRule="auto" w:line="288" w:before="0" w:after="240"/>
        <w:jc w:val="both"/>
        <w:rPr/>
      </w:pPr>
      <w:r>
        <w:rPr>
          <w:rFonts w:ascii="Times New Roman;serif" w:hAnsi="Times New Roman;serif"/>
          <w:b/>
          <w:color w:val="000000"/>
          <w:sz w:val="24"/>
        </w:rPr>
        <w:t>4.</w:t>
      </w:r>
      <w:r>
        <w:rPr>
          <w:rFonts w:ascii="Times New Roman;serif" w:hAnsi="Times New Roman;serif"/>
          <w:b/>
          <w:color w:val="000000"/>
          <w:sz w:val="24"/>
        </w:rPr>
        <w:t>CONFIDENTIALITY.</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4.1.Executive agrees not to disclose the existence or terms of this Agreement to any third party without the prior written consent of Company, except that he may discuss the terms of this Agreement with his attorney, spouse, tax advisor and as required by law.</w:t>
      </w:r>
    </w:p>
    <w:p>
      <w:pPr>
        <w:pStyle w:val="TextBody"/>
        <w:bidi w:val="0"/>
        <w:spacing w:lineRule="auto" w:line="288" w:before="0" w:after="240"/>
        <w:jc w:val="both"/>
        <w:rPr/>
      </w:pPr>
      <w:r>
        <w:rPr>
          <w:rFonts w:ascii="Times New Roman;serif" w:hAnsi="Times New Roman;serif"/>
          <w:b/>
          <w:color w:val="000000"/>
          <w:sz w:val="24"/>
        </w:rPr>
        <w:t>5.</w:t>
      </w:r>
      <w:r>
        <w:rPr>
          <w:rFonts w:ascii="Times New Roman;serif" w:hAnsi="Times New Roman;serif"/>
          <w:b/>
          <w:color w:val="000000"/>
          <w:sz w:val="24"/>
        </w:rPr>
        <w:t>RETURN OF PROPERTY.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5.1.Executive agrees promptly to return all property of Company in his possession or control, wherever located, including all documents and files pertaining to Company or its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interests, whether in electronic form or otherwise and whether deemed confidential or not, by no later than November 12, 2025. </w:t>
      </w:r>
    </w:p>
    <w:p>
      <w:pPr>
        <w:pStyle w:val="TextBody"/>
        <w:bidi w:val="0"/>
        <w:spacing w:lineRule="auto" w:line="288" w:before="0" w:after="240"/>
        <w:jc w:val="both"/>
        <w:rPr/>
      </w:pPr>
      <w:r>
        <w:rPr>
          <w:rFonts w:ascii="Times New Roman;serif" w:hAnsi="Times New Roman;serif"/>
          <w:b/>
          <w:color w:val="000000"/>
          <w:sz w:val="24"/>
        </w:rPr>
        <w:t>6.</w:t>
      </w:r>
      <w:r>
        <w:rPr>
          <w:rFonts w:ascii="Times New Roman;serif" w:hAnsi="Times New Roman;serif"/>
          <w:b/>
          <w:color w:val="000000"/>
          <w:sz w:val="24"/>
        </w:rPr>
        <w:t>NON-DISPARAGEMENT.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6.1.Executive confirms and agrees that he will not make any oral or written statements to any third party about any of the Released Parties that are intended or reasonably likely to disparage any of them in any way. However, he is not prohibited from testifying truthfully under oath or providing truthful information in connection with an agency proceeding.</w:t>
      </w:r>
    </w:p>
    <w:p>
      <w:pPr>
        <w:pStyle w:val="TextBody"/>
        <w:bidi w:val="0"/>
        <w:spacing w:lineRule="auto" w:line="288" w:before="0" w:after="240"/>
        <w:jc w:val="both"/>
        <w:rPr/>
      </w:pPr>
      <w:r>
        <w:rPr>
          <w:rFonts w:ascii="Times New Roman;serif" w:hAnsi="Times New Roman;serif"/>
          <w:b/>
          <w:color w:val="000000"/>
          <w:sz w:val="24"/>
        </w:rPr>
        <w:t>7.</w:t>
      </w:r>
      <w:r>
        <w:rPr>
          <w:rFonts w:ascii="Times New Roman;serif" w:hAnsi="Times New Roman;serif"/>
          <w:b/>
          <w:color w:val="000000"/>
          <w:sz w:val="24"/>
        </w:rPr>
        <w:t>KNOWING AND VOLUNTARY RELEASE.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7.1.Executive has 21 days from the date on which he receives a copy of this Agreement to decide whether or not to sign it.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7.2.Executive agrees that he has signed this Agreement knowingly and voluntarily and not as a result of threats or coercion.</w:t>
      </w:r>
    </w:p>
    <w:p>
      <w:pPr>
        <w:pStyle w:val="TextBody"/>
        <w:bidi w:val="0"/>
        <w:spacing w:lineRule="auto" w:line="288" w:before="0" w:after="240"/>
        <w:jc w:val="both"/>
        <w:rPr/>
      </w:pPr>
      <w:r>
        <w:rPr>
          <w:rFonts w:ascii="Times New Roman;serif" w:hAnsi="Times New Roman;serif"/>
          <w:b w:val="false"/>
          <w:color w:val="000000"/>
          <w:sz w:val="24"/>
        </w:rPr>
        <w:t>7.3.</w:t>
      </w:r>
      <w:r>
        <w:rPr>
          <w:rFonts w:ascii="Times New Roman;serif" w:hAnsi="Times New Roman;serif"/>
          <w:b/>
          <w:color w:val="000000"/>
          <w:sz w:val="24"/>
        </w:rPr>
        <w:t>EXECUTIVE IS HEREBY ADVISED TO CONSULT WITH AN ATTORNEY BEFORE SIGNING THIS AGREEMENT.</w:t>
      </w:r>
    </w:p>
    <w:p>
      <w:pPr>
        <w:pStyle w:val="TextBody"/>
        <w:bidi w:val="0"/>
        <w:spacing w:lineRule="auto" w:line="288" w:before="0" w:after="240"/>
        <w:jc w:val="both"/>
        <w:rPr/>
      </w:pPr>
      <w:r>
        <w:rPr>
          <w:rFonts w:ascii="Times New Roman;serif" w:hAnsi="Times New Roman;serif"/>
          <w:b/>
          <w:color w:val="000000"/>
          <w:sz w:val="24"/>
        </w:rPr>
        <w:t>8.</w:t>
      </w:r>
      <w:r>
        <w:rPr>
          <w:rFonts w:ascii="Times New Roman;serif" w:hAnsi="Times New Roman;serif"/>
          <w:b/>
          <w:color w:val="000000"/>
          <w:sz w:val="24"/>
        </w:rPr>
        <w:t>ENTIRE AGREEMENT AND SEVERABILITY.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8.1.The Parties agree that this Agreement sets forth the entire agreement between them and supersedes any other written or oral understanding or contract they may have with the exception of those terms of the Employment Agreement which expressly survive the termination of Executive’s employment.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8.2.The Parties further agree that, if any portion of this Agreement is held to be invalid or legally unenforceable, the remaining portions of this Agreement will not be affected and will be given full effect.</w:t>
      </w:r>
    </w:p>
    <w:p>
      <w:pPr>
        <w:pStyle w:val="TextBody"/>
        <w:bidi w:val="0"/>
        <w:spacing w:lineRule="auto" w:line="288" w:before="0" w:after="240"/>
        <w:jc w:val="both"/>
        <w:rPr/>
      </w:pPr>
      <w:r>
        <w:rPr>
          <w:rFonts w:ascii="Times New Roman;serif" w:hAnsi="Times New Roman;serif"/>
          <w:b/>
          <w:color w:val="000000"/>
          <w:sz w:val="24"/>
        </w:rPr>
        <w:t>9.</w:t>
      </w:r>
      <w:r>
        <w:rPr>
          <w:rFonts w:ascii="Times New Roman;serif" w:hAnsi="Times New Roman;serif"/>
          <w:b/>
          <w:color w:val="000000"/>
          <w:sz w:val="24"/>
        </w:rPr>
        <w:t>APPLICABLE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9.1.This Agreement is governed by the laws of the state of California. </w:t>
      </w:r>
    </w:p>
    <w:p>
      <w:pPr>
        <w:pStyle w:val="TextBody"/>
        <w:bidi w:val="0"/>
        <w:spacing w:lineRule="auto" w:line="288" w:before="0" w:after="240"/>
        <w:jc w:val="both"/>
        <w:rPr/>
      </w:pPr>
      <w:r>
        <w:rPr>
          <w:rFonts w:ascii="Times New Roman;serif" w:hAnsi="Times New Roman;serif"/>
          <w:b/>
          <w:color w:val="000000"/>
          <w:sz w:val="24"/>
        </w:rPr>
        <w:t>10.</w:t>
      </w:r>
      <w:r>
        <w:rPr>
          <w:rFonts w:ascii="Times New Roman;serif" w:hAnsi="Times New Roman;serif"/>
          <w:b/>
          <w:color w:val="000000"/>
          <w:sz w:val="24"/>
        </w:rPr>
        <w:t>EFFECTIVE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10.1.To accept this Agreement, Executive must sign below and deliver it to Company, c/o Emily Forrester, Chief People Officer.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10.2.Executive may revoke this Agreement during the seven-day period immediately following his execution of the Agreement by delivering a written notice of revocation to Company, c/o Emily Forrester, Chief People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10.3.Assuming no revocation, this Agreement will become final and binding on both Parties on the eighth day following Executive’s execution of this Agreement (“Effective Date”).</w:t>
      </w:r>
    </w:p>
    <w:p>
      <w:pPr>
        <w:pStyle w:val="TextBody"/>
        <w:bidi w:val="0"/>
        <w:spacing w:lineRule="auto" w:line="288" w:before="0" w:after="240"/>
        <w:jc w:val="both"/>
        <w:rPr/>
      </w:pPr>
      <w:r>
        <w:rPr>
          <w:rFonts w:ascii="Times New Roman;serif" w:hAnsi="Times New Roman;serif"/>
          <w:b/>
          <w:color w:val="000000"/>
          <w:sz w:val="24"/>
        </w:rPr>
        <w:t>11.</w:t>
      </w:r>
      <w:r>
        <w:rPr>
          <w:rFonts w:ascii="Times New Roman;serif" w:hAnsi="Times New Roman;serif"/>
          <w:b/>
          <w:color w:val="000000"/>
          <w:sz w:val="24"/>
        </w:rPr>
        <w:t xml:space="preserve">POST-TERMINATION CONSULTING.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11.1.Following the Effective Date and through December 31, 2025 (“Consulting Period”), Company will engage Executive as a Consultant. In this capacity, he will assist Company as reasonably requested to transition his duties and responsibilities.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11.2.During the Consulting Period, Executive will not be an employee of Company and will not be eligible to participate in any employee benefits plans. Executive will receive a consulting fee of $10,000 per month. The Fees shall be paid to the Consultant within thirty (30) days of invoice, if the Services provided through such date of invoice are satisfactory to the Company, as determined by the Company. Company is not required to pay invoices submitted thirty (30) days or more after completion or performance of Services.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HAVING READ AND UNDERSTOOD THIS AGREEMENT, CONSULTED COUNSEL OR VOLUNTARILY ELECTED NOT TO, AND HAVING HAD SUFFICIENT TIME TO CONSIDER WHETHER TO ENTER INTO THIS AGREEMENT, THE UNDERSIGNED HEREBY EXECUTE THIS AGREEMENT. </w:t>
      </w:r>
    </w:p>
    <w:p>
      <w:pPr>
        <w:pStyle w:val="TextBody"/>
        <w:bidi w:val="0"/>
        <w:spacing w:before="0" w:after="0"/>
        <w:jc w:val="both"/>
        <w:rPr/>
      </w:pPr>
      <w:r>
        <w:rPr/>
      </w:r>
    </w:p>
    <w:p>
      <w:pPr>
        <w:pStyle w:val="TextBody"/>
        <w:bidi w:val="0"/>
        <w:spacing w:before="0" w:after="0"/>
        <w:jc w:val="both"/>
        <w:rPr/>
      </w:pPr>
      <w:r>
        <w:rPr/>
      </w:r>
    </w:p>
    <w:tbl>
      <w:tblPr>
        <w:tblW w:w="5820" w:type="dxa"/>
        <w:jc w:val="left"/>
        <w:tblInd w:w="0" w:type="dxa"/>
        <w:tblLayout w:type="fixed"/>
        <w:tblCellMar>
          <w:top w:w="28" w:type="dxa"/>
          <w:left w:w="28" w:type="dxa"/>
          <w:bottom w:w="28" w:type="dxa"/>
          <w:right w:w="28" w:type="dxa"/>
        </w:tblCellMar>
      </w:tblPr>
      <w:tblGrid>
        <w:gridCol w:w="1032"/>
        <w:gridCol w:w="908"/>
        <w:gridCol w:w="910"/>
        <w:gridCol w:w="869"/>
        <w:gridCol w:w="869"/>
        <w:gridCol w:w="1232"/>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MICHAEL D. HAWKINS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Michael D. Hawkins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October 30, 2025</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WORKIVA INC.</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 Julie Iskow</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November 2,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Julie Iskow,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5201" w:type="dxa"/>
        <w:jc w:val="right"/>
        <w:tblInd w:w="0" w:type="dxa"/>
        <w:tblLayout w:type="fixed"/>
        <w:tblCellMar>
          <w:top w:w="28" w:type="dxa"/>
          <w:left w:w="28" w:type="dxa"/>
          <w:bottom w:w="28" w:type="dxa"/>
          <w:right w:w="28" w:type="dxa"/>
        </w:tblCellMar>
      </w:tblPr>
      <w:tblGrid>
        <w:gridCol w:w="587"/>
        <w:gridCol w:w="516"/>
        <w:gridCol w:w="517"/>
        <w:gridCol w:w="109"/>
        <w:gridCol w:w="109"/>
        <w:gridCol w:w="109"/>
        <w:gridCol w:w="950"/>
        <w:gridCol w:w="950"/>
        <w:gridCol w:w="13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Jill Klindt,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tbl>
      <w:tblPr>
        <w:tblW w:w="7272"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1555"/>
        <w:gridCol w:w="1555"/>
        <w:gridCol w:w="2215"/>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Jill Klindt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Klindt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2025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5201"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950"/>
        <w:gridCol w:w="950"/>
        <w:gridCol w:w="13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Jill Klindt,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2025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7272"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1555"/>
        <w:gridCol w:w="1555"/>
        <w:gridCol w:w="2215"/>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Jill Klindt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Jill Klindt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20779</Words>
  <Characters>116085</Characters>
  <CharactersWithSpaces>135357</CharactersWithSpaces>
  <Paragraphs>3016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