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7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7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 xml:space="preserve">FORM </w:t>
      </w:r>
      <w:r>
        <w:rPr>
          <w:rFonts w:ascii="Times New Roman" w:cs="Times New Roman" w:eastAsia="Times New Roman" w:hAnsi="Times New Roman"/>
          <w:sz w:val="32"/>
          <w:szCs w:val="32"/>
          <w:b w:val="1"/>
          <w:bCs w:val="1"/>
          <w:color w:val="auto"/>
        </w:rPr>
        <w:t>10-Q</w:t>
      </w:r>
    </w:p>
    <w:p>
      <w:pPr>
        <w:spacing w:after="0" w:line="9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5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2" w:lineRule="exact"/>
        <w:rPr>
          <w:sz w:val="24"/>
          <w:szCs w:val="24"/>
          <w:color w:val="auto"/>
        </w:rPr>
      </w:pPr>
    </w:p>
    <w:p>
      <w:pPr>
        <w:ind w:left="340" w:hanging="314"/>
        <w:spacing w:after="0"/>
        <w:tabs>
          <w:tab w:leader="none" w:pos="34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8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9" w:lineRule="exact"/>
        <w:rPr>
          <w:sz w:val="24"/>
          <w:szCs w:val="24"/>
          <w:color w:val="auto"/>
        </w:rPr>
      </w:pPr>
    </w:p>
    <w:p>
      <w:pPr>
        <w:ind w:left="340" w:hanging="314"/>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2" w:lineRule="exact"/>
        <w:rPr>
          <w:sz w:val="24"/>
          <w:szCs w:val="24"/>
          <w:color w:val="auto"/>
        </w:rPr>
      </w:pPr>
    </w:p>
    <w:tbl>
      <w:tblPr>
        <w:tblLayout w:type="fixed"/>
        <w:tblInd w:w="500" w:type="dxa"/>
        <w:tblCellMar>
          <w:top w:w="0" w:type="dxa"/>
          <w:left w:w="0" w:type="dxa"/>
          <w:bottom w:w="0" w:type="dxa"/>
          <w:right w:w="0" w:type="dxa"/>
        </w:tblCellMar>
      </w:tblPr>
      <w:tr>
        <w:trPr>
          <w:trHeight w:val="196"/>
        </w:trPr>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transition period from</w:t>
            </w:r>
          </w:p>
        </w:tc>
        <w:tc>
          <w:tcPr>
            <w:tcW w:w="232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to</w:t>
            </w:r>
          </w:p>
        </w:tc>
        <w:tc>
          <w:tcPr>
            <w:tcW w:w="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Commission File Number 001-36773</w:t>
            </w:r>
          </w:p>
        </w:tc>
        <w:tc>
          <w:tcPr>
            <w:tcW w:w="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0" w:type="dxa"/>
            <w:vAlign w:val="bottom"/>
            <w:gridSpan w:val="4"/>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WORKIVA INC.</w:t>
            </w: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2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100" w:type="dxa"/>
            <w:vAlign w:val="bottom"/>
            <w:gridSpan w:val="2"/>
            <w:vMerge w:val="restart"/>
          </w:tcPr>
          <w:p>
            <w:pPr>
              <w:jc w:val="right"/>
              <w:ind w:right="1039"/>
              <w:spacing w:after="0"/>
              <w:rPr>
                <w:sz w:val="20"/>
                <w:szCs w:val="20"/>
                <w:color w:val="auto"/>
              </w:rPr>
            </w:pPr>
            <w:r>
              <w:rPr>
                <w:rFonts w:ascii="Times New Roman" w:cs="Times New Roman" w:eastAsia="Times New Roman" w:hAnsi="Times New Roman"/>
                <w:sz w:val="18"/>
                <w:szCs w:val="18"/>
                <w:b w:val="1"/>
                <w:bCs w:val="1"/>
                <w:color w:val="auto"/>
              </w:rPr>
              <w:t>47-2509828</w:t>
            </w:r>
          </w:p>
        </w:tc>
        <w:tc>
          <w:tcPr>
            <w:tcW w:w="0" w:type="dxa"/>
            <w:vAlign w:val="bottom"/>
          </w:tcPr>
          <w:p>
            <w:pPr>
              <w:spacing w:after="0"/>
              <w:rPr>
                <w:sz w:val="1"/>
                <w:szCs w:val="1"/>
                <w:color w:val="auto"/>
              </w:rPr>
            </w:pPr>
          </w:p>
        </w:tc>
      </w:tr>
      <w:tr>
        <w:trPr>
          <w:trHeight w:val="162"/>
        </w:trPr>
        <w:tc>
          <w:tcPr>
            <w:tcW w:w="3000" w:type="dxa"/>
            <w:vAlign w:val="bottom"/>
            <w:gridSpan w:val="3"/>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rPr>
              <w:t>(State or other jurisdiction of incorporation or</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240" w:type="dxa"/>
            <w:vAlign w:val="bottom"/>
            <w:gridSpan w:val="2"/>
          </w:tcPr>
          <w:p>
            <w:pPr>
              <w:jc w:val="center"/>
              <w:ind w:right="820"/>
              <w:spacing w:after="0"/>
              <w:rPr>
                <w:sz w:val="20"/>
                <w:szCs w:val="20"/>
                <w:color w:val="auto"/>
              </w:rPr>
            </w:pPr>
            <w:r>
              <w:rPr>
                <w:rFonts w:ascii="Times New Roman" w:cs="Times New Roman" w:eastAsia="Times New Roman" w:hAnsi="Times New Roman"/>
                <w:sz w:val="16"/>
                <w:szCs w:val="16"/>
                <w:color w:val="auto"/>
              </w:rPr>
              <w:t>organization)</w:t>
            </w:r>
          </w:p>
        </w:tc>
        <w:tc>
          <w:tcPr>
            <w:tcW w:w="42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2900 University Blvd</w:t>
            </w:r>
          </w:p>
        </w:tc>
        <w:tc>
          <w:tcPr>
            <w:tcW w:w="80" w:type="dxa"/>
            <w:vAlign w:val="bottom"/>
          </w:tcPr>
          <w:p>
            <w:pPr>
              <w:spacing w:after="0"/>
              <w:rPr>
                <w:sz w:val="18"/>
                <w:szCs w:val="18"/>
                <w:color w:val="auto"/>
              </w:rPr>
            </w:pPr>
          </w:p>
        </w:tc>
        <w:tc>
          <w:tcPr>
            <w:tcW w:w="30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(I.R.S. Employer Identification Number)</w:t>
            </w:r>
          </w:p>
        </w:tc>
        <w:tc>
          <w:tcPr>
            <w:tcW w:w="0" w:type="dxa"/>
            <w:vAlign w:val="bottom"/>
          </w:tcPr>
          <w:p>
            <w:pPr>
              <w:spacing w:after="0"/>
              <w:rPr>
                <w:sz w:val="1"/>
                <w:szCs w:val="1"/>
                <w:color w:val="auto"/>
              </w:rPr>
            </w:pPr>
          </w:p>
        </w:tc>
      </w:tr>
      <w:tr>
        <w:trPr>
          <w:trHeight w:val="154"/>
        </w:trPr>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720" w:type="dxa"/>
            <w:vAlign w:val="bottom"/>
            <w:gridSpan w:val="3"/>
          </w:tcPr>
          <w:p>
            <w:pPr>
              <w:jc w:val="center"/>
              <w:ind w:right="1420"/>
              <w:spacing w:after="0" w:line="162" w:lineRule="exact"/>
              <w:rPr>
                <w:sz w:val="20"/>
                <w:szCs w:val="20"/>
                <w:color w:val="auto"/>
              </w:rPr>
            </w:pPr>
            <w:r>
              <w:rPr>
                <w:rFonts w:ascii="Times New Roman" w:cs="Times New Roman" w:eastAsia="Times New Roman" w:hAnsi="Times New Roman"/>
                <w:sz w:val="16"/>
                <w:szCs w:val="16"/>
                <w:b w:val="1"/>
                <w:bCs w:val="1"/>
                <w:color w:val="auto"/>
              </w:rPr>
              <w:t>Ames, IA 50010</w:t>
            </w:r>
          </w:p>
        </w:tc>
        <w:tc>
          <w:tcPr>
            <w:tcW w:w="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(888) 275-3125</w:t>
            </w:r>
          </w:p>
        </w:tc>
        <w:tc>
          <w:tcPr>
            <w:tcW w:w="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and zip code)</w:t>
            </w:r>
          </w:p>
        </w:tc>
        <w:tc>
          <w:tcPr>
            <w:tcW w:w="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(888) 275-3125</w:t>
            </w:r>
          </w:p>
        </w:tc>
        <w:tc>
          <w:tcPr>
            <w:tcW w:w="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2"/>
        </w:trPr>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12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020" w:type="dxa"/>
            <w:vAlign w:val="bottom"/>
          </w:tcPr>
          <w:p>
            <w:pPr>
              <w:spacing w:after="0"/>
              <w:rPr>
                <w:sz w:val="15"/>
                <w:szCs w:val="15"/>
                <w:color w:val="auto"/>
              </w:rPr>
            </w:pPr>
          </w:p>
        </w:tc>
        <w:tc>
          <w:tcPr>
            <w:tcW w:w="4200" w:type="dxa"/>
            <w:vAlign w:val="bottom"/>
            <w:gridSpan w:val="4"/>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310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Class A common stock, par value $.001</w:t>
            </w:r>
          </w:p>
        </w:tc>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20" w:type="dxa"/>
            <w:vAlign w:val="bottom"/>
            <w:gridSpan w:val="2"/>
          </w:tcPr>
          <w:p>
            <w:pPr>
              <w:jc w:val="center"/>
              <w:ind w:right="2000"/>
              <w:spacing w:after="0"/>
              <w:rPr>
                <w:sz w:val="20"/>
                <w:szCs w:val="20"/>
                <w:color w:val="auto"/>
              </w:rPr>
            </w:pPr>
            <w:r>
              <w:rPr>
                <w:rFonts w:ascii="Times New Roman" w:cs="Times New Roman" w:eastAsia="Times New Roman" w:hAnsi="Times New Roman"/>
                <w:sz w:val="16"/>
                <w:szCs w:val="16"/>
                <w:b w:val="1"/>
                <w:bCs w:val="1"/>
                <w:color w:val="auto"/>
                <w:w w:val="98"/>
              </w:rPr>
              <w:t>WK</w:t>
            </w:r>
          </w:p>
        </w:tc>
        <w:tc>
          <w:tcPr>
            <w:tcW w:w="8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c>
          <w:tcPr>
            <w:tcW w:w="0" w:type="dxa"/>
            <w:vAlign w:val="bottom"/>
          </w:tcPr>
          <w:p>
            <w:pPr>
              <w:spacing w:after="0"/>
              <w:rPr>
                <w:sz w:val="1"/>
                <w:szCs w:val="1"/>
                <w:color w:val="auto"/>
              </w:rPr>
            </w:pPr>
          </w:p>
        </w:tc>
      </w:tr>
    </w:tbl>
    <w:p>
      <w:pPr>
        <w:spacing w:after="0" w:line="195" w:lineRule="exact"/>
        <w:rPr>
          <w:sz w:val="24"/>
          <w:szCs w:val="24"/>
          <w:color w:val="auto"/>
        </w:rPr>
      </w:pPr>
    </w:p>
    <w:p>
      <w:pPr>
        <w:ind w:firstLine="64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49" w:lineRule="exact"/>
        <w:rPr>
          <w:sz w:val="24"/>
          <w:szCs w:val="24"/>
          <w:color w:val="auto"/>
        </w:rPr>
      </w:pPr>
    </w:p>
    <w:p>
      <w:pPr>
        <w:ind w:right="200" w:firstLine="648"/>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61" w:lineRule="exact"/>
        <w:rPr>
          <w:sz w:val="24"/>
          <w:szCs w:val="24"/>
          <w:color w:val="auto"/>
        </w:rPr>
      </w:pPr>
    </w:p>
    <w:p>
      <w:pPr>
        <w:ind w:right="20" w:firstLine="648"/>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60"/>
          </w:cols>
          <w:pgMar w:left="320" w:top="1073" w:right="419" w:bottom="1440" w:gutter="0" w:footer="0" w:header="0"/>
        </w:sectPr>
      </w:pPr>
    </w:p>
    <w:p>
      <w:pPr>
        <w:spacing w:after="0" w:line="3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Accelerated filer </w:t>
      </w:r>
      <w:r>
        <w:rPr>
          <w:rFonts w:ascii="Wingdings" w:cs="Wingdings" w:eastAsia="Wingdings" w:hAnsi="Wingdings"/>
          <w:sz w:val="17"/>
          <w:szCs w:val="17"/>
          <w:b w:val="1"/>
          <w:bCs w:val="1"/>
          <w:color w:val="auto"/>
        </w:rPr>
        <w:t>o</w:t>
      </w:r>
    </w:p>
    <w:p>
      <w:pPr>
        <w:spacing w:after="0" w:line="41" w:lineRule="exact"/>
        <w:rPr>
          <w:sz w:val="24"/>
          <w:szCs w:val="24"/>
          <w:color w:val="auto"/>
        </w:rPr>
      </w:pPr>
    </w:p>
    <w:p>
      <w:pPr>
        <w:sectPr>
          <w:pgSz w:w="11900" w:h="16838" w:orient="portrait"/>
          <w:cols w:equalWidth="0" w:num="3">
            <w:col w:w="1480" w:space="160"/>
            <w:col w:w="7180" w:space="720"/>
            <w:col w:w="1620"/>
          </w:cols>
          <w:pgMar w:left="320" w:top="1073" w:right="419" w:bottom="1440" w:gutter="0" w:footer="0" w:header="0"/>
          <w:type w:val="continuous"/>
        </w:sectPr>
      </w:pPr>
    </w:p>
    <w:p>
      <w:pPr>
        <w:spacing w:after="0" w:line="4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97" w:lineRule="exact"/>
        <w:rPr>
          <w:sz w:val="24"/>
          <w:szCs w:val="24"/>
          <w:color w:val="auto"/>
        </w:rPr>
      </w:pPr>
    </w:p>
    <w:p>
      <w:pPr>
        <w:sectPr>
          <w:pgSz w:w="11900" w:h="16838" w:orient="portrait"/>
          <w:cols w:equalWidth="0" w:num="3">
            <w:col w:w="1400" w:space="200"/>
            <w:col w:w="6540" w:space="720"/>
            <w:col w:w="2300"/>
          </w:cols>
          <w:pgMar w:left="320" w:top="1073" w:right="419" w:bottom="1440" w:gutter="0" w:footer="0" w:header="0"/>
          <w:type w:val="continuous"/>
        </w:sectPr>
      </w:pPr>
    </w:p>
    <w:p>
      <w:pPr>
        <w:ind w:left="88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160"/>
          </w:cols>
          <w:pgMar w:left="320" w:top="1073" w:right="419" w:bottom="1440" w:gutter="0" w:footer="0" w:header="0"/>
          <w:type w:val="continuous"/>
        </w:sectPr>
      </w:pPr>
    </w:p>
    <w:p>
      <w:pPr>
        <w:spacing w:after="0" w:line="257" w:lineRule="exact"/>
        <w:rPr>
          <w:sz w:val="24"/>
          <w:szCs w:val="24"/>
          <w:color w:val="auto"/>
        </w:rPr>
      </w:pPr>
    </w:p>
    <w:p>
      <w:pPr>
        <w:ind w:right="360" w:firstLine="648"/>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73" w:right="419" w:bottom="1440" w:gutter="0" w:footer="0" w:header="0"/>
          <w:type w:val="continuous"/>
        </w:sectPr>
      </w:pPr>
    </w:p>
    <w:bookmarkStart w:id="1" w:name="page2"/>
    <w:bookmarkEnd w:id="1"/>
    <w:p>
      <w:pPr>
        <w:ind w:left="6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9"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As of April 25, 2025, there were approximately 51,888,191 shares of the registrant's Class A common stock and 3,845,583 shares of the registrant's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605790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008" w:right="8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WORKIVA INC.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2860" w:type="dxa"/>
            <w:vAlign w:val="bottom"/>
            <w:gridSpan w:val="5"/>
            <w:vMerge w:val="restart"/>
          </w:tcPr>
          <w:p>
            <w:pPr>
              <w:spacing w:after="0"/>
              <w:rPr>
                <w:sz w:val="17"/>
                <w:szCs w:val="17"/>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60" w:type="dxa"/>
            <w:vAlign w:val="bottom"/>
            <w:tcBorders>
              <w:bottom w:val="single" w:sz="8" w:color="0000FF"/>
            </w:tcBorders>
            <w:gridSpan w:val="4"/>
            <w:vMerge w:val="continue"/>
          </w:tcPr>
          <w:p>
            <w:pPr>
              <w:spacing w:after="0"/>
              <w:rPr>
                <w:sz w:val="18"/>
                <w:szCs w:val="18"/>
                <w:color w:val="auto"/>
              </w:rPr>
            </w:pPr>
          </w:p>
        </w:tc>
        <w:tc>
          <w:tcPr>
            <w:tcW w:w="2860" w:type="dxa"/>
            <w:vAlign w:val="bottom"/>
            <w:gridSpan w:val="5"/>
            <w:vMerge w:val="continue"/>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r>
              <w:rPr>
                <w:rFonts w:ascii="Times New Roman" w:cs="Times New Roman" w:eastAsia="Times New Roman" w:hAnsi="Times New Roman"/>
                <w:sz w:val="18"/>
                <w:szCs w:val="18"/>
                <w:color w:val="000000"/>
              </w:rPr>
              <w:t>.</w:t>
            </w:r>
          </w:p>
        </w:tc>
        <w:tc>
          <w:tcPr>
            <w:tcW w:w="8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Unaudited Consolidated Financial Statements:</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March 31, 2025 and December 31, 2024</w:t>
            </w:r>
          </w:p>
        </w:tc>
        <w:tc>
          <w:tcPr>
            <w:tcW w:w="2080" w:type="dxa"/>
            <w:vAlign w:val="bottom"/>
            <w:gridSpan w:val="4"/>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2025 and 2024</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for the Three Months Ended March 31, 2025 and 2024</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Deficit for the Three Months Ended March 31, 2025 and 2024</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7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2025 and 2024</w:t>
            </w:r>
          </w:p>
        </w:tc>
        <w:tc>
          <w:tcPr>
            <w:tcW w:w="66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700" w:type="dxa"/>
            <w:vAlign w:val="bottom"/>
            <w:gridSpan w:val="6"/>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8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20</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8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09"/>
        </w:trPr>
        <w:tc>
          <w:tcPr>
            <w:tcW w:w="12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42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080" w:type="dxa"/>
            <w:vAlign w:val="bottom"/>
            <w:gridSpan w:val="6"/>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21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560" w:type="dxa"/>
            <w:vAlign w:val="bottom"/>
          </w:tcPr>
          <w:p>
            <w:pPr>
              <w:spacing w:after="0"/>
              <w:rPr>
                <w:sz w:val="18"/>
                <w:szCs w:val="18"/>
                <w:color w:val="auto"/>
              </w:rPr>
            </w:pP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220" w:type="dxa"/>
            <w:vAlign w:val="bottom"/>
            <w:gridSpan w:val="4"/>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0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560" w:type="dxa"/>
            <w:vAlign w:val="bottom"/>
          </w:tcPr>
          <w:p>
            <w:pPr>
              <w:spacing w:after="0"/>
              <w:rPr>
                <w:sz w:val="18"/>
                <w:szCs w:val="18"/>
                <w:color w:val="auto"/>
              </w:rPr>
            </w:pPr>
          </w:p>
        </w:tc>
        <w:tc>
          <w:tcPr>
            <w:tcW w:w="7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33</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560" w:type="dxa"/>
            <w:vAlign w:val="bottom"/>
          </w:tcPr>
          <w:p>
            <w:pPr>
              <w:spacing w:after="0"/>
              <w:rPr>
                <w:sz w:val="18"/>
                <w:szCs w:val="18"/>
                <w:color w:val="auto"/>
              </w:rPr>
            </w:pPr>
          </w:p>
        </w:tc>
        <w:tc>
          <w:tcPr>
            <w:tcW w:w="7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33</w:t>
            </w:r>
          </w:p>
        </w:tc>
      </w:tr>
      <w:tr>
        <w:trPr>
          <w:trHeight w:val="20"/>
        </w:trPr>
        <w:tc>
          <w:tcPr>
            <w:tcW w:w="50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580" w:type="dxa"/>
            <w:vAlign w:val="bottom"/>
            <w:gridSpan w:val="4"/>
            <w:shd w:val="clear" w:color="auto" w:fill="0000FF"/>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7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Exhibits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34</w:t>
            </w: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0" w:type="dxa"/>
            <w:vAlign w:val="bottom"/>
            <w:gridSpan w:val="6"/>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S-1</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41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10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Certain statements in this Quarterly Report on Form 10-Q are “forward-looking statements” within the meaning of Section 21E of the Securities Exchange Act of 1934, as amended, and are subject to the safe harbor created thereby. All statements contained in this Quarterly Report on Form 10-Q other than statements of historical facts, including statements regarding our future results of operations and financial position, our business strategy and plans and our objectives for future operations, are forward-looking statements. The words “believe,” “may,” “will,” “estimate,” “continue,” “anticipate,” “intend,” “expect”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“Item 1A. Risk Factors” of our Annual Report on Form 10-K for the year ended December 31, 2024, in “Item 1A. Risk Factors” in Part II of this Quarterly Report on Form 10-Q and in any subsequent filing we make with the SEC, as well as in any documents incorporated by reference that describe risks and factors that could cause results to differ materially from those projected in these forward-looking statements.</w:t>
      </w:r>
    </w:p>
    <w:p>
      <w:pPr>
        <w:spacing w:after="0" w:line="7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Moreover, we operate in a very competitive and dynamic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Although we believe that the expectations reflected in the forward-looking statements are reasonable, we cannot guarantee future results, levels of activity, performance, achievements or events and circumstances reflected in the forward-looking statements will occur. We are under no duty to update any of these forward-looking statements after completion of this Quarterly Report on Form 10-Q to conform these statements to actual results or revised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 Financial Information</w:t>
      </w:r>
    </w:p>
    <w:p>
      <w:pPr>
        <w:spacing w:after="0" w:line="21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Financial Statements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jc w:val="center"/>
              <w:ind w:left="4350"/>
              <w:spacing w:after="0"/>
              <w:rPr>
                <w:sz w:val="20"/>
                <w:szCs w:val="20"/>
                <w:color w:val="auto"/>
              </w:rPr>
            </w:pPr>
            <w:r>
              <w:rPr>
                <w:rFonts w:ascii="Times New Roman" w:cs="Times New Roman" w:eastAsia="Times New Roman" w:hAnsi="Times New Roman"/>
                <w:sz w:val="18"/>
                <w:szCs w:val="18"/>
                <w:b w:val="1"/>
                <w:bCs w:val="1"/>
                <w:color w:val="auto"/>
                <w:w w:val="98"/>
              </w:rPr>
              <w:t>WORKIVA INC.</w:t>
            </w: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080" w:type="dxa"/>
            <w:vAlign w:val="bottom"/>
            <w:gridSpan w:val="4"/>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80" w:type="dxa"/>
            <w:vAlign w:val="bottom"/>
            <w:gridSpan w:val="4"/>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120" w:type="dxa"/>
            <w:vAlign w:val="bottom"/>
          </w:tcPr>
          <w:p>
            <w:pPr>
              <w:spacing w:after="0"/>
              <w:rPr>
                <w:sz w:val="20"/>
                <w:szCs w:val="20"/>
                <w:color w:val="auto"/>
              </w:rPr>
            </w:pP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of December 31, 2024</w:t>
            </w:r>
          </w:p>
        </w:tc>
        <w:tc>
          <w:tcPr>
            <w:tcW w:w="0" w:type="dxa"/>
            <w:vAlign w:val="bottom"/>
          </w:tcPr>
          <w:p>
            <w:pPr>
              <w:spacing w:after="0"/>
              <w:rPr>
                <w:sz w:val="1"/>
                <w:szCs w:val="1"/>
                <w:color w:val="auto"/>
              </w:rPr>
            </w:pPr>
          </w:p>
        </w:tc>
      </w:tr>
      <w:tr>
        <w:trPr>
          <w:trHeight w:val="232"/>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301,835</w:t>
            </w:r>
          </w:p>
        </w:tc>
        <w:tc>
          <w:tcPr>
            <w:tcW w:w="0" w:type="dxa"/>
            <w:vAlign w:val="bottom"/>
          </w:tcPr>
          <w:p>
            <w:pPr>
              <w:spacing w:after="0"/>
              <w:rPr>
                <w:sz w:val="1"/>
                <w:szCs w:val="1"/>
                <w:color w:val="auto"/>
              </w:rPr>
            </w:pPr>
          </w:p>
        </w:tc>
      </w:tr>
      <w:tr>
        <w:trPr>
          <w:trHeight w:val="229"/>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514,585</w:t>
            </w:r>
          </w:p>
        </w:tc>
        <w:tc>
          <w:tcPr>
            <w:tcW w:w="0" w:type="dxa"/>
            <w:vAlign w:val="bottom"/>
          </w:tcPr>
          <w:p>
            <w:pPr>
              <w:spacing w:after="0"/>
              <w:rPr>
                <w:sz w:val="1"/>
                <w:szCs w:val="1"/>
                <w:color w:val="auto"/>
              </w:rPr>
            </w:pPr>
          </w:p>
        </w:tc>
      </w:tr>
      <w:tr>
        <w:trPr>
          <w:trHeight w:val="176"/>
        </w:trPr>
        <w:tc>
          <w:tcPr>
            <w:tcW w:w="68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$1,244 and $1,220 at</w:t>
            </w:r>
          </w:p>
        </w:tc>
        <w:tc>
          <w:tcPr>
            <w:tcW w:w="1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March 31, 2025 and December 31, 2024, respectively</w:t>
            </w:r>
          </w:p>
        </w:tc>
        <w:tc>
          <w:tcPr>
            <w:tcW w:w="18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148,433</w:t>
            </w:r>
          </w:p>
        </w:tc>
        <w:tc>
          <w:tcPr>
            <w:tcW w:w="0" w:type="dxa"/>
            <w:vAlign w:val="bottom"/>
          </w:tcPr>
          <w:p>
            <w:pPr>
              <w:spacing w:after="0"/>
              <w:rPr>
                <w:sz w:val="1"/>
                <w:szCs w:val="1"/>
                <w:color w:val="auto"/>
              </w:rPr>
            </w:pPr>
          </w:p>
        </w:tc>
      </w:tr>
      <w:tr>
        <w:trPr>
          <w:trHeight w:val="230"/>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costs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50,914</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receivables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22,199</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974,297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1,048,242</w:t>
            </w:r>
          </w:p>
        </w:tc>
        <w:tc>
          <w:tcPr>
            <w:tcW w:w="0" w:type="dxa"/>
            <w:vAlign w:val="bottom"/>
          </w:tcPr>
          <w:p>
            <w:pPr>
              <w:spacing w:after="0"/>
              <w:rPr>
                <w:sz w:val="1"/>
                <w:szCs w:val="1"/>
                <w:color w:val="auto"/>
              </w:rPr>
            </w:pPr>
          </w:p>
        </w:tc>
      </w:tr>
      <w:tr>
        <w:trPr>
          <w:trHeight w:val="229"/>
        </w:trPr>
        <w:tc>
          <w:tcPr>
            <w:tcW w:w="6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21,825</w:t>
            </w:r>
          </w:p>
        </w:tc>
        <w:tc>
          <w:tcPr>
            <w:tcW w:w="0" w:type="dxa"/>
            <w:vAlign w:val="bottom"/>
          </w:tcPr>
          <w:p>
            <w:pPr>
              <w:spacing w:after="0"/>
              <w:rPr>
                <w:sz w:val="1"/>
                <w:szCs w:val="1"/>
                <w:color w:val="auto"/>
              </w:rPr>
            </w:pPr>
          </w:p>
        </w:tc>
      </w:tr>
      <w:tr>
        <w:trPr>
          <w:trHeight w:val="230"/>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costs, non-current</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54,858</w:t>
            </w:r>
          </w:p>
        </w:tc>
        <w:tc>
          <w:tcPr>
            <w:tcW w:w="0" w:type="dxa"/>
            <w:vAlign w:val="bottom"/>
          </w:tcPr>
          <w:p>
            <w:pPr>
              <w:spacing w:after="0"/>
              <w:rPr>
                <w:sz w:val="1"/>
                <w:szCs w:val="1"/>
                <w:color w:val="auto"/>
              </w:rPr>
            </w:pPr>
          </w:p>
        </w:tc>
      </w:tr>
      <w:tr>
        <w:trPr>
          <w:trHeight w:val="229"/>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196,844</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27,389</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0" w:type="dxa"/>
            <w:vAlign w:val="bottom"/>
          </w:tcPr>
          <w:p>
            <w:pPr>
              <w:spacing w:after="0"/>
              <w:rPr>
                <w:sz w:val="1"/>
                <w:szCs w:val="1"/>
                <w:color w:val="auto"/>
              </w:rPr>
            </w:pP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1,293,634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1,368,469</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WORKIVA INC.</w:t>
      </w:r>
    </w:p>
    <w:p>
      <w:pPr>
        <w:spacing w:after="0" w:line="1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120" w:type="dxa"/>
            <w:vAlign w:val="bottom"/>
          </w:tcPr>
          <w:p>
            <w:pPr>
              <w:spacing w:after="0"/>
              <w:rPr>
                <w:sz w:val="20"/>
                <w:szCs w:val="20"/>
                <w:color w:val="auto"/>
              </w:rPr>
            </w:pP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of December 31, 2024</w:t>
            </w:r>
          </w:p>
        </w:tc>
        <w:tc>
          <w:tcPr>
            <w:tcW w:w="0" w:type="dxa"/>
            <w:vAlign w:val="bottom"/>
          </w:tcPr>
          <w:p>
            <w:pPr>
              <w:spacing w:after="0"/>
              <w:rPr>
                <w:sz w:val="1"/>
                <w:szCs w:val="1"/>
                <w:color w:val="auto"/>
              </w:rPr>
            </w:pPr>
          </w:p>
        </w:tc>
      </w:tr>
      <w:tr>
        <w:trPr>
          <w:trHeight w:val="232"/>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0" w:type="dxa"/>
            <w:vAlign w:val="bottom"/>
          </w:tcPr>
          <w:p>
            <w:pPr>
              <w:spacing w:after="0"/>
              <w:rPr>
                <w:sz w:val="1"/>
                <w:szCs w:val="1"/>
                <w:color w:val="auto"/>
              </w:rPr>
            </w:pPr>
          </w:p>
        </w:tc>
      </w:tr>
      <w:tr>
        <w:trPr>
          <w:trHeight w:val="230"/>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126,508</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457,608</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592,425</w:t>
            </w:r>
          </w:p>
        </w:tc>
        <w:tc>
          <w:tcPr>
            <w:tcW w:w="0" w:type="dxa"/>
            <w:vAlign w:val="bottom"/>
          </w:tcPr>
          <w:p>
            <w:pPr>
              <w:spacing w:after="0"/>
              <w:rPr>
                <w:sz w:val="1"/>
                <w:szCs w:val="1"/>
                <w:color w:val="auto"/>
              </w:rPr>
            </w:pPr>
          </w:p>
        </w:tc>
      </w:tr>
      <w:tr>
        <w:trPr>
          <w:trHeight w:val="229"/>
        </w:trPr>
        <w:tc>
          <w:tcPr>
            <w:tcW w:w="6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senior notes, non-current</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765,501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764,891</w:t>
            </w:r>
          </w:p>
        </w:tc>
        <w:tc>
          <w:tcPr>
            <w:tcW w:w="0" w:type="dxa"/>
            <w:vAlign w:val="bottom"/>
          </w:tcPr>
          <w:p>
            <w:pPr>
              <w:spacing w:after="0"/>
              <w:rPr>
                <w:sz w:val="1"/>
                <w:szCs w:val="1"/>
                <w:color w:val="auto"/>
              </w:rPr>
            </w:pPr>
          </w:p>
        </w:tc>
      </w:tr>
      <w:tr>
        <w:trPr>
          <w:trHeight w:val="229"/>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29,681</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0"/>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obligations, non-current</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13,488</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1,369,369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1,410,153</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8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A common stock, $0.001 par value per share, 1,000,000,000 shares authorized,</w:t>
            </w:r>
          </w:p>
        </w:tc>
        <w:tc>
          <w:tcPr>
            <w:tcW w:w="1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80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51,907,573 and 51,646,053 shares issued and outstanding at March 31, 2025 and</w:t>
            </w:r>
          </w:p>
        </w:tc>
        <w:tc>
          <w:tcPr>
            <w:tcW w:w="1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18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76"/>
        </w:trPr>
        <w:tc>
          <w:tcPr>
            <w:tcW w:w="68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B common stock, $0.001 par value per share, 500,000,000 shares authorized,</w:t>
            </w:r>
          </w:p>
        </w:tc>
        <w:tc>
          <w:tcPr>
            <w:tcW w:w="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80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3,845,583 and 3,845,583 shares issued and outstanding at March 31, 2025 and</w:t>
            </w:r>
          </w:p>
        </w:tc>
        <w:tc>
          <w:tcPr>
            <w:tcW w:w="1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1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5"/>
        </w:trPr>
        <w:tc>
          <w:tcPr>
            <w:tcW w:w="68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per share, 100,000,000 shares authorized, no shares issued</w:t>
            </w:r>
          </w:p>
        </w:tc>
        <w:tc>
          <w:tcPr>
            <w:tcW w:w="1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outstanding</w:t>
            </w:r>
          </w:p>
        </w:tc>
        <w:tc>
          <w:tcPr>
            <w:tcW w:w="18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672,363</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(707,683)</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(41,684)</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1,293,634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1,368,469</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474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WORKIVA INC.</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2880" w:type="dxa"/>
            <w:vAlign w:val="bottom"/>
          </w:tcPr>
          <w:p>
            <w:pPr>
              <w:spacing w:after="0"/>
              <w:rPr>
                <w:sz w:val="24"/>
                <w:szCs w:val="24"/>
                <w:color w:val="auto"/>
              </w:rPr>
            </w:pPr>
          </w:p>
        </w:tc>
        <w:tc>
          <w:tcPr>
            <w:tcW w:w="6160" w:type="dxa"/>
            <w:vAlign w:val="bottom"/>
            <w:gridSpan w:val="4"/>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880" w:type="dxa"/>
            <w:vAlign w:val="bottom"/>
          </w:tcPr>
          <w:p>
            <w:pPr>
              <w:spacing w:after="0"/>
              <w:rPr>
                <w:sz w:val="16"/>
                <w:szCs w:val="16"/>
                <w:color w:val="auto"/>
              </w:rPr>
            </w:pPr>
          </w:p>
        </w:tc>
        <w:tc>
          <w:tcPr>
            <w:tcW w:w="4740" w:type="dxa"/>
            <w:vAlign w:val="bottom"/>
            <w:gridSpan w:val="2"/>
          </w:tcPr>
          <w:p>
            <w:pPr>
              <w:jc w:val="center"/>
              <w:ind w:left="6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80" w:type="dxa"/>
            <w:vAlign w:val="bottom"/>
          </w:tcPr>
          <w:p>
            <w:pPr>
              <w:spacing w:after="0"/>
              <w:rPr>
                <w:sz w:val="20"/>
                <w:szCs w:val="20"/>
                <w:color w:val="auto"/>
              </w:rPr>
            </w:pPr>
          </w:p>
        </w:tc>
        <w:tc>
          <w:tcPr>
            <w:tcW w:w="474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3580" w:type="dxa"/>
            <w:vAlign w:val="bottom"/>
            <w:gridSpan w:val="4"/>
            <w:vMerge w:val="restart"/>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1"/>
        </w:trPr>
        <w:tc>
          <w:tcPr>
            <w:tcW w:w="288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Borders>
              <w:bottom w:val="single" w:sz="8" w:color="CCEEFF"/>
            </w:tcBorders>
          </w:tcPr>
          <w:p>
            <w:pPr>
              <w:spacing w:after="0"/>
              <w:rPr>
                <w:sz w:val="19"/>
                <w:szCs w:val="19"/>
                <w:color w:val="auto"/>
              </w:rPr>
            </w:pPr>
          </w:p>
        </w:tc>
        <w:tc>
          <w:tcPr>
            <w:tcW w:w="39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47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185,512</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154,979</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39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20,688</w:t>
            </w:r>
          </w:p>
        </w:tc>
        <w:tc>
          <w:tcPr>
            <w:tcW w:w="0" w:type="dxa"/>
            <w:vAlign w:val="bottom"/>
          </w:tcPr>
          <w:p>
            <w:pPr>
              <w:spacing w:after="0"/>
              <w:rPr>
                <w:sz w:val="1"/>
                <w:szCs w:val="1"/>
                <w:color w:val="auto"/>
              </w:rPr>
            </w:pPr>
          </w:p>
        </w:tc>
      </w:tr>
      <w:tr>
        <w:trPr>
          <w:trHeight w:val="223"/>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9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206,280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175,667</w:t>
            </w: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3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27,927</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39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w:t>
            </w:r>
          </w:p>
        </w:tc>
        <w:tc>
          <w:tcPr>
            <w:tcW w:w="0" w:type="dxa"/>
            <w:vAlign w:val="bottom"/>
          </w:tcPr>
          <w:p>
            <w:pPr>
              <w:spacing w:after="0"/>
              <w:rPr>
                <w:sz w:val="1"/>
                <w:szCs w:val="1"/>
                <w:color w:val="auto"/>
              </w:rPr>
            </w:pPr>
          </w:p>
        </w:tc>
      </w:tr>
      <w:tr>
        <w:trPr>
          <w:trHeight w:val="223"/>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39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48,342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41,523</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9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157,938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134,144</w:t>
            </w:r>
          </w:p>
        </w:tc>
        <w:tc>
          <w:tcPr>
            <w:tcW w:w="0" w:type="dxa"/>
            <w:vAlign w:val="bottom"/>
          </w:tcPr>
          <w:p>
            <w:pPr>
              <w:spacing w:after="0"/>
              <w:rPr>
                <w:sz w:val="1"/>
                <w:szCs w:val="1"/>
                <w:color w:val="auto"/>
              </w:rPr>
            </w:pPr>
          </w:p>
        </w:tc>
      </w:tr>
      <w:tr>
        <w:trPr>
          <w:trHeight w:val="20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45,495</w:t>
            </w:r>
          </w:p>
        </w:tc>
        <w:tc>
          <w:tcPr>
            <w:tcW w:w="0" w:type="dxa"/>
            <w:vAlign w:val="bottom"/>
          </w:tcPr>
          <w:p>
            <w:pPr>
              <w:spacing w:after="0"/>
              <w:rPr>
                <w:sz w:val="1"/>
                <w:szCs w:val="1"/>
                <w:color w:val="auto"/>
              </w:rPr>
            </w:pPr>
          </w:p>
        </w:tc>
      </w:tr>
      <w:tr>
        <w:trPr>
          <w:trHeight w:val="229"/>
        </w:trPr>
        <w:tc>
          <w:tcPr>
            <w:tcW w:w="2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82,633</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9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24,299</w:t>
            </w:r>
          </w:p>
        </w:tc>
        <w:tc>
          <w:tcPr>
            <w:tcW w:w="0" w:type="dxa"/>
            <w:vAlign w:val="bottom"/>
          </w:tcPr>
          <w:p>
            <w:pPr>
              <w:spacing w:after="0"/>
              <w:rPr>
                <w:sz w:val="1"/>
                <w:szCs w:val="1"/>
                <w:color w:val="auto"/>
              </w:rPr>
            </w:pPr>
          </w:p>
        </w:tc>
      </w:tr>
      <w:tr>
        <w:trPr>
          <w:trHeight w:val="223"/>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9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182,688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152,427</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0" w:type="dxa"/>
            <w:vAlign w:val="bottom"/>
          </w:tcPr>
          <w:p>
            <w:pPr>
              <w:spacing w:after="0"/>
              <w:rPr>
                <w:sz w:val="1"/>
                <w:szCs w:val="1"/>
                <w:color w:val="auto"/>
              </w:rPr>
            </w:pPr>
          </w:p>
        </w:tc>
      </w:tr>
      <w:tr>
        <w:trPr>
          <w:trHeight w:val="229"/>
        </w:trPr>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0" w:type="dxa"/>
            <w:vAlign w:val="bottom"/>
          </w:tcPr>
          <w:p>
            <w:pPr>
              <w:spacing w:after="0"/>
              <w:rPr>
                <w:sz w:val="1"/>
                <w:szCs w:val="1"/>
                <w:color w:val="auto"/>
              </w:rPr>
            </w:pPr>
          </w:p>
        </w:tc>
      </w:tr>
      <w:tr>
        <w:trPr>
          <w:trHeight w:val="229"/>
        </w:trPr>
        <w:tc>
          <w:tcPr>
            <w:tcW w:w="2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9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(10,974)</w:t>
            </w: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9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48"/>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9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(11,687)</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39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80" w:type="dxa"/>
            <w:vAlign w:val="bottom"/>
            <w:vMerge w:val="continue"/>
          </w:tcPr>
          <w:p>
            <w:pPr>
              <w:spacing w:after="0"/>
              <w:rPr>
                <w:sz w:val="15"/>
                <w:szCs w:val="15"/>
                <w:color w:val="auto"/>
              </w:rPr>
            </w:pPr>
          </w:p>
        </w:tc>
        <w:tc>
          <w:tcPr>
            <w:tcW w:w="3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47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34"/>
        </w:trPr>
        <w:tc>
          <w:tcPr>
            <w:tcW w:w="7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56,157,533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54,915,852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2820" w:type="dxa"/>
            <w:vAlign w:val="bottom"/>
            <w:gridSpan w:val="2"/>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WORKIVA INC.</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9040" w:type="dxa"/>
            <w:vAlign w:val="bottom"/>
            <w:gridSpan w:val="5"/>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LOSS</w:t>
            </w: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460" w:type="dxa"/>
            <w:vAlign w:val="bottom"/>
          </w:tcPr>
          <w:p>
            <w:pPr>
              <w:spacing w:after="0"/>
              <w:rPr>
                <w:sz w:val="16"/>
                <w:szCs w:val="16"/>
                <w:color w:val="auto"/>
              </w:rPr>
            </w:pPr>
          </w:p>
        </w:tc>
        <w:tc>
          <w:tcPr>
            <w:tcW w:w="2820" w:type="dxa"/>
            <w:vAlign w:val="bottom"/>
            <w:gridSpan w:val="2"/>
          </w:tcPr>
          <w:p>
            <w:pPr>
              <w:jc w:val="center"/>
              <w:ind w:right="430"/>
              <w:spacing w:after="0" w:line="184"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p>
        </w:tc>
        <w:tc>
          <w:tcPr>
            <w:tcW w:w="2820" w:type="dxa"/>
            <w:vAlign w:val="bottom"/>
            <w:gridSpan w:val="2"/>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3920" w:type="dxa"/>
            <w:vAlign w:val="bottom"/>
            <w:gridSpan w:val="4"/>
            <w:vMerge w:val="restart"/>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1"/>
        </w:trPr>
        <w:tc>
          <w:tcPr>
            <w:tcW w:w="44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3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(11,687)</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23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3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3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WORKIVA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DEFICIT</w:t>
      </w:r>
    </w:p>
    <w:p>
      <w:pPr>
        <w:spacing w:after="0" w:line="2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760" w:type="dxa"/>
            <w:vAlign w:val="bottom"/>
            <w:tcBorders>
              <w:top w:val="single" w:sz="8" w:color="auto"/>
            </w:tcBorders>
          </w:tcPr>
          <w:p>
            <w:pPr>
              <w:spacing w:after="0"/>
              <w:rPr>
                <w:sz w:val="18"/>
                <w:szCs w:val="18"/>
                <w:color w:val="auto"/>
              </w:rPr>
            </w:pPr>
          </w:p>
        </w:tc>
        <w:tc>
          <w:tcPr>
            <w:tcW w:w="2440" w:type="dxa"/>
            <w:vAlign w:val="bottom"/>
            <w:tcBorders>
              <w:top w:val="single" w:sz="8" w:color="auto"/>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 Stock (Class A and B)</w:t>
            </w:r>
          </w:p>
        </w:tc>
        <w:tc>
          <w:tcPr>
            <w:tcW w:w="3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760" w:type="dxa"/>
            <w:vAlign w:val="bottom"/>
          </w:tcPr>
          <w:p>
            <w:pPr>
              <w:spacing w:after="0"/>
              <w:rPr>
                <w:sz w:val="10"/>
                <w:szCs w:val="10"/>
                <w:color w:val="auto"/>
              </w:rPr>
            </w:pPr>
          </w:p>
        </w:tc>
        <w:tc>
          <w:tcPr>
            <w:tcW w:w="14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Additional Paid-in-</w:t>
            </w:r>
          </w:p>
        </w:tc>
        <w:tc>
          <w:tcPr>
            <w:tcW w:w="144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30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95"/>
        </w:trPr>
        <w:tc>
          <w:tcPr>
            <w:tcW w:w="27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1"/>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December 31, 2024</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55,492</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672,363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(6,420)</w:t>
            </w: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(707,683)</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(41,684)</w:t>
            </w:r>
          </w:p>
        </w:tc>
        <w:tc>
          <w:tcPr>
            <w:tcW w:w="0" w:type="dxa"/>
            <w:vAlign w:val="bottom"/>
          </w:tcPr>
          <w:p>
            <w:pPr>
              <w:spacing w:after="0"/>
              <w:rPr>
                <w:sz w:val="1"/>
                <w:szCs w:val="1"/>
                <w:color w:val="auto"/>
              </w:rPr>
            </w:pPr>
          </w:p>
        </w:tc>
      </w:tr>
      <w:tr>
        <w:trPr>
          <w:trHeight w:val="195"/>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6"/>
                <w:szCs w:val="16"/>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27,888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27,888</w:t>
            </w:r>
          </w:p>
        </w:tc>
        <w:tc>
          <w:tcPr>
            <w:tcW w:w="0" w:type="dxa"/>
            <w:vAlign w:val="bottom"/>
          </w:tcPr>
          <w:p>
            <w:pPr>
              <w:spacing w:after="0"/>
              <w:rPr>
                <w:sz w:val="1"/>
                <w:szCs w:val="1"/>
                <w:color w:val="auto"/>
              </w:rPr>
            </w:pPr>
          </w:p>
        </w:tc>
      </w:tr>
      <w:tr>
        <w:trPr>
          <w:trHeight w:val="146"/>
        </w:trPr>
        <w:tc>
          <w:tcPr>
            <w:tcW w:w="276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0" w:type="dxa"/>
            <w:vAlign w:val="bottom"/>
          </w:tcPr>
          <w:p>
            <w:pPr>
              <w:spacing w:after="0"/>
              <w:rPr>
                <w:sz w:val="1"/>
                <w:szCs w:val="1"/>
                <w:color w:val="auto"/>
              </w:rPr>
            </w:pPr>
          </w:p>
        </w:tc>
      </w:tr>
      <w:tr>
        <w:trPr>
          <w:trHeight w:val="198"/>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options</w:t>
            </w:r>
          </w:p>
        </w:tc>
        <w:tc>
          <w:tcPr>
            <w:tcW w:w="1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76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Issuance of common stock under employee</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7,535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10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7,535</w:t>
            </w:r>
          </w:p>
        </w:tc>
        <w:tc>
          <w:tcPr>
            <w:tcW w:w="0" w:type="dxa"/>
            <w:vAlign w:val="bottom"/>
          </w:tcPr>
          <w:p>
            <w:pPr>
              <w:spacing w:after="0"/>
              <w:rPr>
                <w:sz w:val="1"/>
                <w:szCs w:val="1"/>
                <w:color w:val="auto"/>
              </w:rPr>
            </w:pPr>
          </w:p>
        </w:tc>
      </w:tr>
      <w:tr>
        <w:trPr>
          <w:trHeight w:val="193"/>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purchase plan</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restricted stock units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76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Tax withholding related to net share</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6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settlements of stock-based compensation</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(12,922)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10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(12,922)</w:t>
            </w:r>
          </w:p>
        </w:tc>
        <w:tc>
          <w:tcPr>
            <w:tcW w:w="0" w:type="dxa"/>
            <w:vAlign w:val="bottom"/>
          </w:tcPr>
          <w:p>
            <w:pPr>
              <w:spacing w:after="0"/>
              <w:rPr>
                <w:sz w:val="1"/>
                <w:szCs w:val="1"/>
                <w:color w:val="auto"/>
              </w:rPr>
            </w:pPr>
          </w:p>
        </w:tc>
      </w:tr>
      <w:tr>
        <w:trPr>
          <w:trHeight w:val="195"/>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awards</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Class A common stock</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(40,118)</w:t>
            </w:r>
          </w:p>
        </w:tc>
        <w:tc>
          <w:tcPr>
            <w:tcW w:w="0" w:type="dxa"/>
            <w:vAlign w:val="bottom"/>
          </w:tcPr>
          <w:p>
            <w:pPr>
              <w:spacing w:after="0"/>
              <w:rPr>
                <w:sz w:val="1"/>
                <w:szCs w:val="1"/>
                <w:color w:val="auto"/>
              </w:rPr>
            </w:pPr>
          </w:p>
        </w:tc>
      </w:tr>
      <w:tr>
        <w:trPr>
          <w:trHeight w:val="195"/>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6"/>
                <w:szCs w:val="16"/>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(21,371)</w:t>
            </w: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0" w:type="dxa"/>
            <w:vAlign w:val="bottom"/>
          </w:tcPr>
          <w:p>
            <w:pPr>
              <w:spacing w:after="0"/>
              <w:rPr>
                <w:sz w:val="1"/>
                <w:szCs w:val="1"/>
                <w:color w:val="auto"/>
              </w:rPr>
            </w:pPr>
          </w:p>
        </w:tc>
      </w:tr>
      <w:tr>
        <w:trPr>
          <w:trHeight w:val="182"/>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March 31, 2025</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55,753</w:t>
            </w:r>
          </w:p>
        </w:tc>
        <w:tc>
          <w:tcPr>
            <w:tcW w:w="120" w:type="dxa"/>
            <w:vAlign w:val="bottom"/>
          </w:tcPr>
          <w:p>
            <w:pPr>
              <w:spacing w:after="0"/>
              <w:rPr>
                <w:sz w:val="15"/>
                <w:szCs w:val="15"/>
                <w:color w:val="auto"/>
              </w:rPr>
            </w:pPr>
          </w:p>
        </w:tc>
        <w:tc>
          <w:tcPr>
            <w:tcW w:w="1020" w:type="dxa"/>
            <w:vAlign w:val="bottom"/>
            <w:tcBorders>
              <w:top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655,377</w:t>
            </w:r>
          </w:p>
        </w:tc>
        <w:tc>
          <w:tcPr>
            <w:tcW w:w="120" w:type="dxa"/>
            <w:vAlign w:val="bottom"/>
          </w:tcPr>
          <w:p>
            <w:pPr>
              <w:spacing w:after="0"/>
              <w:rPr>
                <w:sz w:val="15"/>
                <w:szCs w:val="15"/>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(2,114)</w:t>
            </w:r>
          </w:p>
        </w:tc>
        <w:tc>
          <w:tcPr>
            <w:tcW w:w="120" w:type="dxa"/>
            <w:vAlign w:val="bottom"/>
          </w:tcPr>
          <w:p>
            <w:pPr>
              <w:spacing w:after="0"/>
              <w:rPr>
                <w:sz w:val="15"/>
                <w:szCs w:val="15"/>
                <w:color w:val="auto"/>
              </w:rPr>
            </w:pPr>
          </w:p>
        </w:tc>
        <w:tc>
          <w:tcPr>
            <w:tcW w:w="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(729,054)</w:t>
            </w:r>
          </w:p>
        </w:tc>
        <w:tc>
          <w:tcPr>
            <w:tcW w:w="14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(75,735)</w:t>
            </w:r>
          </w:p>
        </w:tc>
        <w:tc>
          <w:tcPr>
            <w:tcW w:w="0" w:type="dxa"/>
            <w:vAlign w:val="bottom"/>
          </w:tcPr>
          <w:p>
            <w:pPr>
              <w:spacing w:after="0"/>
              <w:rPr>
                <w:sz w:val="1"/>
                <w:szCs w:val="1"/>
                <w:color w:val="auto"/>
              </w:rPr>
            </w:pPr>
          </w:p>
        </w:tc>
      </w:tr>
      <w:tr>
        <w:trPr>
          <w:trHeight w:val="450"/>
        </w:trPr>
        <w:tc>
          <w:tcPr>
            <w:tcW w:w="2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7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60" w:type="dxa"/>
            <w:vAlign w:val="bottom"/>
          </w:tcPr>
          <w:p>
            <w:pPr>
              <w:spacing w:after="0"/>
              <w:rPr>
                <w:sz w:val="16"/>
                <w:szCs w:val="16"/>
                <w:color w:val="auto"/>
              </w:rPr>
            </w:pPr>
          </w:p>
        </w:tc>
        <w:tc>
          <w:tcPr>
            <w:tcW w:w="244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 Stock (Class A and B)</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7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4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14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76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4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1"/>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December 31, 2023</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54,179</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562,942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(652,641)</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(89,390)</w:t>
            </w:r>
          </w:p>
        </w:tc>
        <w:tc>
          <w:tcPr>
            <w:tcW w:w="0" w:type="dxa"/>
            <w:vAlign w:val="bottom"/>
          </w:tcPr>
          <w:p>
            <w:pPr>
              <w:spacing w:after="0"/>
              <w:rPr>
                <w:sz w:val="1"/>
                <w:szCs w:val="1"/>
                <w:color w:val="auto"/>
              </w:rPr>
            </w:pPr>
          </w:p>
        </w:tc>
      </w:tr>
      <w:tr>
        <w:trPr>
          <w:trHeight w:val="195"/>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6"/>
                <w:szCs w:val="16"/>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23,007</w:t>
            </w:r>
          </w:p>
        </w:tc>
        <w:tc>
          <w:tcPr>
            <w:tcW w:w="0" w:type="dxa"/>
            <w:vAlign w:val="bottom"/>
          </w:tcPr>
          <w:p>
            <w:pPr>
              <w:spacing w:after="0"/>
              <w:rPr>
                <w:sz w:val="1"/>
                <w:szCs w:val="1"/>
                <w:color w:val="auto"/>
              </w:rPr>
            </w:pPr>
          </w:p>
        </w:tc>
      </w:tr>
      <w:tr>
        <w:trPr>
          <w:trHeight w:val="146"/>
        </w:trPr>
        <w:tc>
          <w:tcPr>
            <w:tcW w:w="276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198"/>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options</w:t>
            </w:r>
          </w:p>
        </w:tc>
        <w:tc>
          <w:tcPr>
            <w:tcW w:w="1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76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Issuance of common stock under employee</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7,113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10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7,113</w:t>
            </w:r>
          </w:p>
        </w:tc>
        <w:tc>
          <w:tcPr>
            <w:tcW w:w="0" w:type="dxa"/>
            <w:vAlign w:val="bottom"/>
          </w:tcPr>
          <w:p>
            <w:pPr>
              <w:spacing w:after="0"/>
              <w:rPr>
                <w:sz w:val="1"/>
                <w:szCs w:val="1"/>
                <w:color w:val="auto"/>
              </w:rPr>
            </w:pPr>
          </w:p>
        </w:tc>
      </w:tr>
      <w:tr>
        <w:trPr>
          <w:trHeight w:val="193"/>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purchase plan</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restricted stock units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76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Tax withholding related to net share</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6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settlements of stock-based compensation</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(8,611)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10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(8,611)</w:t>
            </w:r>
          </w:p>
        </w:tc>
        <w:tc>
          <w:tcPr>
            <w:tcW w:w="0" w:type="dxa"/>
            <w:vAlign w:val="bottom"/>
          </w:tcPr>
          <w:p>
            <w:pPr>
              <w:spacing w:after="0"/>
              <w:rPr>
                <w:sz w:val="1"/>
                <w:szCs w:val="1"/>
                <w:color w:val="auto"/>
              </w:rPr>
            </w:pPr>
          </w:p>
        </w:tc>
      </w:tr>
      <w:tr>
        <w:trPr>
          <w:trHeight w:val="195"/>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awards</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(11,687)</w:t>
            </w:r>
          </w:p>
        </w:tc>
        <w:tc>
          <w:tcPr>
            <w:tcW w:w="0" w:type="dxa"/>
            <w:vAlign w:val="bottom"/>
          </w:tcPr>
          <w:p>
            <w:pPr>
              <w:spacing w:after="0"/>
              <w:rPr>
                <w:sz w:val="1"/>
                <w:szCs w:val="1"/>
                <w:color w:val="auto"/>
              </w:rPr>
            </w:pPr>
          </w:p>
        </w:tc>
      </w:tr>
      <w:tr>
        <w:trPr>
          <w:trHeight w:val="196"/>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7"/>
                <w:szCs w:val="17"/>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(3,890)</w:t>
            </w:r>
          </w:p>
        </w:tc>
        <w:tc>
          <w:tcPr>
            <w:tcW w:w="0" w:type="dxa"/>
            <w:vAlign w:val="bottom"/>
          </w:tcPr>
          <w:p>
            <w:pPr>
              <w:spacing w:after="0"/>
              <w:rPr>
                <w:sz w:val="1"/>
                <w:szCs w:val="1"/>
                <w:color w:val="auto"/>
              </w:rPr>
            </w:pPr>
          </w:p>
        </w:tc>
      </w:tr>
      <w:tr>
        <w:trPr>
          <w:trHeight w:val="203"/>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March 31, 2024</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54,785</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584,752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(664,328)</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jc w:val="center"/>
              <w:ind w:left="4350"/>
              <w:spacing w:after="0"/>
              <w:rPr>
                <w:sz w:val="20"/>
                <w:szCs w:val="20"/>
                <w:color w:val="auto"/>
              </w:rPr>
            </w:pPr>
            <w:r>
              <w:rPr>
                <w:rFonts w:ascii="Times New Roman" w:cs="Times New Roman" w:eastAsia="Times New Roman" w:hAnsi="Times New Roman"/>
                <w:sz w:val="18"/>
                <w:szCs w:val="18"/>
                <w:b w:val="1"/>
                <w:bCs w:val="1"/>
                <w:color w:val="auto"/>
                <w:w w:val="98"/>
              </w:rPr>
              <w:t>WORKIVA INC.</w:t>
            </w: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080" w:type="dxa"/>
            <w:vAlign w:val="bottom"/>
            <w:gridSpan w:val="4"/>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800" w:type="dxa"/>
            <w:vAlign w:val="bottom"/>
          </w:tcPr>
          <w:p>
            <w:pPr>
              <w:jc w:val="center"/>
              <w:ind w:left="4370"/>
              <w:spacing w:after="0" w:line="18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5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00" w:type="dxa"/>
            <w:vAlign w:val="bottom"/>
          </w:tcPr>
          <w:p>
            <w:pPr>
              <w:jc w:val="center"/>
              <w:ind w:left="43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8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68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(11,687)</w:t>
            </w: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0" w:type="dxa"/>
            <w:vAlign w:val="bottom"/>
          </w:tcPr>
          <w:p>
            <w:pPr>
              <w:spacing w:after="0"/>
              <w:rPr>
                <w:sz w:val="1"/>
                <w:szCs w:val="1"/>
                <w:color w:val="auto"/>
              </w:rPr>
            </w:pPr>
          </w:p>
        </w:tc>
      </w:tr>
      <w:tr>
        <w:trPr>
          <w:trHeight w:val="230"/>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23,007</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(recovery of) doubtful accounts</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of premiums and discounts on marketable securities, net</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29"/>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36,947</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costs</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30"/>
        </w:trPr>
        <w:tc>
          <w:tcPr>
            <w:tcW w:w="6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receivables</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30"/>
        </w:trPr>
        <w:tc>
          <w:tcPr>
            <w:tcW w:w="6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30"/>
        </w:trPr>
        <w:tc>
          <w:tcPr>
            <w:tcW w:w="6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(17,526)</w:t>
            </w:r>
          </w:p>
        </w:tc>
        <w:tc>
          <w:tcPr>
            <w:tcW w:w="0" w:type="dxa"/>
            <w:vAlign w:val="bottom"/>
          </w:tcPr>
          <w:p>
            <w:pPr>
              <w:spacing w:after="0"/>
              <w:rPr>
                <w:sz w:val="1"/>
                <w:szCs w:val="1"/>
                <w:color w:val="auto"/>
              </w:rPr>
            </w:pPr>
          </w:p>
        </w:tc>
      </w:tr>
      <w:tr>
        <w:trPr>
          <w:trHeight w:val="229"/>
        </w:trPr>
        <w:tc>
          <w:tcPr>
            <w:tcW w:w="6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24,844</w:t>
            </w:r>
          </w:p>
        </w:tc>
        <w:tc>
          <w:tcPr>
            <w:tcW w:w="0" w:type="dxa"/>
            <w:vAlign w:val="bottom"/>
          </w:tcPr>
          <w:p>
            <w:pPr>
              <w:spacing w:after="0"/>
              <w:rPr>
                <w:sz w:val="1"/>
                <w:szCs w:val="1"/>
                <w:color w:val="auto"/>
              </w:rPr>
            </w:pPr>
          </w:p>
        </w:tc>
      </w:tr>
      <w:tr>
        <w:trPr>
          <w:trHeight w:val="250"/>
        </w:trPr>
        <w:tc>
          <w:tcPr>
            <w:tcW w:w="68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9"/>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(102,965)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(116,567)</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129,640</w:t>
            </w:r>
          </w:p>
        </w:tc>
        <w:tc>
          <w:tcPr>
            <w:tcW w:w="0" w:type="dxa"/>
            <w:vAlign w:val="bottom"/>
          </w:tcPr>
          <w:p>
            <w:pPr>
              <w:spacing w:after="0"/>
              <w:rPr>
                <w:sz w:val="1"/>
                <w:szCs w:val="1"/>
                <w:color w:val="auto"/>
              </w:rPr>
            </w:pPr>
          </w:p>
        </w:tc>
      </w:tr>
      <w:tr>
        <w:trPr>
          <w:trHeight w:val="230"/>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 of marketable securities</w:t>
            </w:r>
          </w:p>
        </w:tc>
        <w:tc>
          <w:tcPr>
            <w:tcW w:w="50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jc w:val="center"/>
              <w:ind w:left="4350"/>
              <w:spacing w:after="0"/>
              <w:rPr>
                <w:sz w:val="20"/>
                <w:szCs w:val="20"/>
                <w:color w:val="auto"/>
              </w:rPr>
            </w:pPr>
            <w:r>
              <w:rPr>
                <w:rFonts w:ascii="Times New Roman" w:cs="Times New Roman" w:eastAsia="Times New Roman" w:hAnsi="Times New Roman"/>
                <w:sz w:val="18"/>
                <w:szCs w:val="18"/>
                <w:b w:val="1"/>
                <w:bCs w:val="1"/>
                <w:color w:val="auto"/>
                <w:w w:val="98"/>
              </w:rPr>
              <w:t>WORKIVA INC.</w:t>
            </w: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080" w:type="dxa"/>
            <w:vAlign w:val="bottom"/>
            <w:gridSpan w:val="4"/>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(continued)</w:t>
            </w: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800" w:type="dxa"/>
            <w:vAlign w:val="bottom"/>
          </w:tcPr>
          <w:p>
            <w:pPr>
              <w:jc w:val="center"/>
              <w:ind w:left="4370"/>
              <w:spacing w:after="0" w:line="18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5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00" w:type="dxa"/>
            <w:vAlign w:val="bottom"/>
          </w:tcPr>
          <w:p>
            <w:pPr>
              <w:jc w:val="center"/>
              <w:ind w:left="43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8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0"/>
        </w:trPr>
        <w:tc>
          <w:tcPr>
            <w:tcW w:w="68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option exercises</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30"/>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paid related to net share settlements of stock-based compensation awards</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shares issued in connection with employee stock purchase plan</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w:t>
            </w:r>
          </w:p>
        </w:tc>
        <w:tc>
          <w:tcPr>
            <w:tcW w:w="0" w:type="dxa"/>
            <w:vAlign w:val="bottom"/>
          </w:tcPr>
          <w:p>
            <w:pPr>
              <w:spacing w:after="0"/>
              <w:rPr>
                <w:sz w:val="1"/>
                <w:szCs w:val="1"/>
                <w:color w:val="auto"/>
              </w:rPr>
            </w:pPr>
          </w:p>
        </w:tc>
      </w:tr>
      <w:tr>
        <w:trPr>
          <w:trHeight w:val="230"/>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Repurchases of Class A common stock</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70"/>
        </w:trPr>
        <w:tc>
          <w:tcPr>
            <w:tcW w:w="6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39,860</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302,350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256,721</w:t>
            </w:r>
          </w:p>
        </w:tc>
        <w:tc>
          <w:tcPr>
            <w:tcW w:w="0" w:type="dxa"/>
            <w:vAlign w:val="bottom"/>
          </w:tcPr>
          <w:p>
            <w:pPr>
              <w:spacing w:after="0"/>
              <w:rPr>
                <w:sz w:val="1"/>
                <w:szCs w:val="1"/>
                <w:color w:val="auto"/>
              </w:rPr>
            </w:pP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242,736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296,581</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interest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70"/>
        </w:trPr>
        <w:tc>
          <w:tcPr>
            <w:tcW w:w="6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8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 consolidated balance</w:t>
            </w:r>
          </w:p>
        </w:tc>
        <w:tc>
          <w:tcPr>
            <w:tcW w:w="5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sheets</w:t>
            </w: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242,024</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296,066</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Restricted cash included within prepaid expenses and other at end of period</w:t>
            </w: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155"/>
        </w:trPr>
        <w:tc>
          <w:tcPr>
            <w:tcW w:w="68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cash equivalents, and restricted cash at end of period shown in the consolidated</w:t>
            </w:r>
          </w:p>
        </w:tc>
        <w:tc>
          <w:tcPr>
            <w:tcW w:w="5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242,736</w:t>
            </w:r>
          </w:p>
        </w:tc>
        <w:tc>
          <w:tcPr>
            <w:tcW w:w="1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296,581</w:t>
            </w:r>
          </w:p>
        </w:tc>
        <w:tc>
          <w:tcPr>
            <w:tcW w:w="0" w:type="dxa"/>
            <w:vAlign w:val="bottom"/>
          </w:tcPr>
          <w:p>
            <w:pPr>
              <w:spacing w:after="0"/>
              <w:rPr>
                <w:sz w:val="1"/>
                <w:szCs w:val="1"/>
                <w:color w:val="auto"/>
              </w:rPr>
            </w:pPr>
          </w:p>
        </w:tc>
      </w:tr>
      <w:tr>
        <w:trPr>
          <w:trHeight w:val="236"/>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statements of cash flows</w:t>
            </w: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6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6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WORKIVA INC.</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Organization</w:t>
      </w:r>
    </w:p>
    <w:p>
      <w:pPr>
        <w:spacing w:after="0" w:line="11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Workiva Inc., a Delaware corporation, and its wholly-owned subsidiaries (the “Company” or “we” or “us”) build and deliver the platform that powers transparency, accountability, and trust. Finance, accounting, sustainability, risk and audit teams worldwide rely on Workiva for their mission-critical work. We transform how customers connect data, unify processes, and empower teams in a secure, audit-ready, AI-powered collaborative platform. Our operational headquarters are located in Ames, Iowa. We also lease office facilities or contract with flexible workspace providers throughout the U.S. and internationally.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 and Principles of Consolidation</w:t>
      </w:r>
    </w:p>
    <w:p>
      <w:pPr>
        <w:spacing w:after="0" w:line="1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financial information presented in the accompanying unaudited condensed consolidated financial statements has been prepared in accordance with U.S. generally accepted accounting principles (“U.S. GAAP”) and in accordance with rules and regulations of the U.S. Securities and Exchange Commission (“SEC”) regarding interim financial reporting. The condensed consolidated balance sheet data as of December 31, 2024 was derived from audited financial statements, but does not include all disclosures required by U.S. GAAP. In the opinion of management, the accompanying unaudited condensed consolidated financial statements reflect all adjustments, consisting primarily of normal recurring accruals, necessary for a fair presentation of our financial position and results of operations. The operating results for the three months ended March 31, 2025 are not necessarily indicative of the results expected for the full year ending December 31, 2025.</w:t>
      </w:r>
    </w:p>
    <w:p>
      <w:pPr>
        <w:spacing w:after="0" w:line="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Seasonality affects our revenue, expenses and cash flows from operations. Revenue from professional services is generally higher in the first quarter of our calendar year as many of our customers file their Form 10-K in the first calendar quarter. Our sales and marketing expense also has some degree of seasonality. Sales and marketing expenses have historically been higher in the third quarter due to our annual user conference in September. In addition, the timing of cash bonus payments to employees during the first and fourth calendar quarters may result in some seasonality in operating cash flow. The condensed consolidated financial information should be read in conjunction with “Management’s Discussion and Analysis of Financial Condition and Results of Operations” contained in this report and the consolidated financial statements and notes included in the Company’s Annual Report on Form 10-K for the fiscal year ended December 31, 2024 filed with the SEC on February 25, 2025.</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unaudited condensed consolidated financial statements include the accounts of Workiva Inc. and its wholly-owned subsidiaries.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intercompany accounts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The preparation of consolidated financial statements in conformity with accounting principles generally accepted in the United States requires us to make estimates and assumptions that affect the amounts reported in the consolidated financial statements and accompanying notes. We base our estimates on historical experience and various other assumptions believed to be reasonable. These estimates include, but are not limited to, the allowance for doubtful accounts, the determination of the relative selling prices of our services, the measurement of material rights, health insurance claims incurred but not yet reported, valuation of available-for-sale marketable securities, useful lives of deferred contract costs, intangible assets and property and equipment, goodwill, income taxes, discount rates used in the valuation of right-of-use assets and lease liabilities, and certain assumptions used in the valuation of equity awards. While these estimates are based on our best knowledge of current events and actions that may affect us in the future, actual results may differ materially from these estimates.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November 2023, the FASB issued ASU 2023-07, Segment Reporting (Topic 280): Improvements to Reportable Segment Disclosures, which expands disclosures about a public entity’s reportable segments and requires more enhanced information about a reportable segment’s expenses, interim segment profit or loss, and how a public entity’s chief operating decision maker uses reported segment profit or loss information in assessing segment performance and allocating resources. The standard is effective for annual periods beginning after December 15, 2023, with early adoption permitted. We adopted this standard for the annual period beginning on January 1, 2024. The adoption of this standard did not have a material impact on our consolidated financial statements and related disclosures.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New Accounting Pronouncements Not Yet Adopted</w:t>
      </w:r>
    </w:p>
    <w:p>
      <w:pPr>
        <w:spacing w:after="0" w:line="108"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9"/>
          <w:szCs w:val="19"/>
          <w:color w:val="auto"/>
        </w:rPr>
        <w:t xml:space="preserve">In December 2023, the FASB issued ASU 2023-09, </w:t>
      </w:r>
      <w:r>
        <w:rPr>
          <w:rFonts w:ascii="Times New Roman" w:cs="Times New Roman" w:eastAsia="Times New Roman" w:hAnsi="Times New Roman"/>
          <w:sz w:val="19"/>
          <w:szCs w:val="19"/>
          <w:i w:val="1"/>
          <w:iCs w:val="1"/>
          <w:color w:val="auto"/>
        </w:rPr>
        <w:t>Income Taxes (Topic 740): Improvements to Income Tax Disclosures</w:t>
      </w:r>
      <w:r>
        <w:rPr>
          <w:rFonts w:ascii="Times New Roman" w:cs="Times New Roman" w:eastAsia="Times New Roman" w:hAnsi="Times New Roman"/>
          <w:sz w:val="19"/>
          <w:szCs w:val="19"/>
          <w:color w:val="auto"/>
        </w:rPr>
        <w:t>, which expands disclosures in an entity’s income tax rate reconciliation table and regarding cash taxes paid both in the U.S. and foreign jurisdictions. The standard is effective for annual periods beginning after December 15, 2024, with early adoption permitted. We are currently assessing the effect of this update on our related disclosures and plan to adopt this update as effective during the annual period ending December 31, 2025.</w:t>
      </w:r>
    </w:p>
    <w:p>
      <w:pPr>
        <w:spacing w:after="0" w:line="4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 - Reporting Comprehensive and Income - Expense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Disaggregation Disclosures (Subtopic 220-40), </w:t>
      </w:r>
      <w:r>
        <w:rPr>
          <w:rFonts w:ascii="Times New Roman" w:cs="Times New Roman" w:eastAsia="Times New Roman" w:hAnsi="Times New Roman"/>
          <w:sz w:val="20"/>
          <w:szCs w:val="20"/>
          <w:color w:val="auto"/>
        </w:rPr>
        <w:t>requiring public business entities (PBEs) to provide disaggregated disclosures of relevant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income statement expenses. The amendments aim to improve financial reporting by enhancing transparency in the notes to financial statements, specifically regarding expense categories. The amendments in this update are effective for annual reporting periods beginning after December 15, 2026, and interim reporting periods beginning after December 15, 2027. We are assessing the effect of this update on our consolidated financial statements and related disclosures.</w:t>
      </w:r>
    </w:p>
    <w:p>
      <w:pPr>
        <w:spacing w:after="0" w:line="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9"/>
          <w:szCs w:val="19"/>
          <w:color w:val="auto"/>
        </w:rPr>
        <w:t xml:space="preserve">In November 2024, the FASB issued ASU 2024-04, </w:t>
      </w:r>
      <w:r>
        <w:rPr>
          <w:rFonts w:ascii="Times New Roman" w:cs="Times New Roman" w:eastAsia="Times New Roman" w:hAnsi="Times New Roman"/>
          <w:sz w:val="19"/>
          <w:szCs w:val="19"/>
          <w:i w:val="1"/>
          <w:iCs w:val="1"/>
          <w:color w:val="auto"/>
        </w:rPr>
        <w:t>Induced Conversions of Convertible Debt Instruments,</w:t>
      </w:r>
      <w:r>
        <w:rPr>
          <w:rFonts w:ascii="Times New Roman" w:cs="Times New Roman" w:eastAsia="Times New Roman" w:hAnsi="Times New Roman"/>
          <w:sz w:val="19"/>
          <w:szCs w:val="19"/>
          <w:color w:val="auto"/>
        </w:rPr>
        <w:t xml:space="preserve"> which amends the guidance in ASC 470-20 for induced conversions of convertible debt instruments. The update clarifies the accounting treatment for debt conversion wherein inducement offers are made, regardless of whether the settlement is in equity, cash, or a combination of both. Previously, induced conversions were limited to equity settlements. The amendments in this update are effective for annual reporting periods beginning after December 15, 2025. We are assessing the effect of this update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6400" w:firstLine="8"/>
        <w:spacing w:after="0" w:line="380" w:lineRule="auto"/>
        <w:tabs>
          <w:tab w:leader="none" w:pos="198" w:val="left"/>
        </w:tabs>
        <w:numPr>
          <w:ilvl w:val="0"/>
          <w:numId w:val="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Supplemental Consolidated Balance Sheet Information </w:t>
      </w:r>
      <w:r>
        <w:rPr>
          <w:rFonts w:ascii="Times New Roman" w:cs="Times New Roman" w:eastAsia="Times New Roman" w:hAnsi="Times New Roman"/>
          <w:sz w:val="19"/>
          <w:szCs w:val="19"/>
          <w:b w:val="1"/>
          <w:bCs w:val="1"/>
          <w:i w:val="1"/>
          <w:iCs w:val="1"/>
          <w:color w:val="auto"/>
        </w:rPr>
        <w:t>Accrued Expenses and Other Current Liabilities</w:t>
      </w:r>
    </w:p>
    <w:p>
      <w:pPr>
        <w:ind w:left="66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Accrued expenses and other current liabilities consisted of the following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120" w:type="dxa"/>
            <w:vAlign w:val="bottom"/>
          </w:tcPr>
          <w:p>
            <w:pPr>
              <w:spacing w:after="0"/>
              <w:rPr>
                <w:sz w:val="20"/>
                <w:szCs w:val="20"/>
                <w:color w:val="auto"/>
              </w:rPr>
            </w:pP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of December 31, 2024</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24,500</w:t>
            </w: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18,698</w:t>
            </w: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bonuses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w:t>
            </w: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commissions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23,336</w:t>
            </w: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employee contributions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health insurance claims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r>
      <w:tr>
        <w:trPr>
          <w:trHeight w:val="23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other liabilities</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22,262</w:t>
            </w:r>
          </w:p>
        </w:tc>
      </w:tr>
      <w:tr>
        <w:trPr>
          <w:trHeight w:val="248"/>
        </w:trPr>
        <w:tc>
          <w:tcPr>
            <w:tcW w:w="6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126,508</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Cash Equivalents and Marketable Securities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 March 31, 2025, cash equivalents and marketable securities consisted of the following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14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Aggregate Fair</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560" w:type="dxa"/>
            <w:vAlign w:val="bottom"/>
            <w:gridSpan w:val="3"/>
            <w:vMerge w:val="continue"/>
          </w:tcPr>
          <w:p>
            <w:pPr>
              <w:spacing w:after="0"/>
              <w:rPr>
                <w:sz w:val="21"/>
                <w:szCs w:val="21"/>
                <w:color w:val="auto"/>
              </w:rPr>
            </w:pPr>
          </w:p>
        </w:tc>
        <w:tc>
          <w:tcPr>
            <w:tcW w:w="154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128,976</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128,976</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276,166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276,627</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debt securities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74,499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74,602</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184,045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184,377</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666,737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Pr>
          <w:p>
            <w:pPr>
              <w:spacing w:after="0"/>
              <w:rPr>
                <w:sz w:val="19"/>
                <w:szCs w:val="19"/>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667,633</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142,635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142,633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Included in marketable securities</w:t>
            </w: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524,102</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1,079</w:t>
            </w:r>
          </w:p>
        </w:tc>
        <w:tc>
          <w:tcPr>
            <w:tcW w:w="120" w:type="dxa"/>
            <w:vAlign w:val="bottom"/>
          </w:tcPr>
          <w:p>
            <w:pPr>
              <w:spacing w:after="0"/>
              <w:rPr>
                <w:sz w:val="17"/>
                <w:szCs w:val="17"/>
                <w:color w:val="auto"/>
              </w:rPr>
            </w:pPr>
          </w:p>
        </w:tc>
        <w:tc>
          <w:tcPr>
            <w:tcW w:w="56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525,000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 December 31, 2024, cash equivalents and marketable securities consisted of the following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14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Aggregate Fair</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560" w:type="dxa"/>
            <w:vAlign w:val="bottom"/>
            <w:gridSpan w:val="3"/>
            <w:vMerge w:val="continue"/>
          </w:tcPr>
          <w:p>
            <w:pPr>
              <w:spacing w:after="0"/>
              <w:rPr>
                <w:sz w:val="21"/>
                <w:szCs w:val="21"/>
                <w:color w:val="auto"/>
              </w:rPr>
            </w:pPr>
          </w:p>
        </w:tc>
        <w:tc>
          <w:tcPr>
            <w:tcW w:w="154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137,201</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137,201</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263,064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263,227</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debt securities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80,891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81,022</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178,619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178,852</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661,834</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tcPr>
          <w:p>
            <w:pPr>
              <w:spacing w:after="0"/>
              <w:rPr>
                <w:sz w:val="19"/>
                <w:szCs w:val="19"/>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662,361</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147,774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147,776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Included in marketable securities</w:t>
            </w: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514,060</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3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911</w:t>
            </w:r>
          </w:p>
        </w:tc>
        <w:tc>
          <w:tcPr>
            <w:tcW w:w="120" w:type="dxa"/>
            <w:vAlign w:val="bottom"/>
          </w:tcPr>
          <w:p>
            <w:pPr>
              <w:spacing w:after="0"/>
              <w:rPr>
                <w:sz w:val="17"/>
                <w:szCs w:val="17"/>
                <w:color w:val="auto"/>
              </w:rPr>
            </w:pPr>
          </w:p>
        </w:tc>
        <w:tc>
          <w:tcPr>
            <w:tcW w:w="56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514,585</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contractual maturities of the investments classified as marketable securities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As of March 31, 2025</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318,797</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to two years</w:t>
            </w:r>
          </w:p>
        </w:tc>
        <w:tc>
          <w:tcPr>
            <w:tcW w:w="5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206,203</w:t>
            </w:r>
          </w:p>
        </w:tc>
      </w:tr>
      <w:tr>
        <w:trPr>
          <w:trHeight w:val="223"/>
        </w:trPr>
        <w:tc>
          <w:tcPr>
            <w:tcW w:w="786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525,000</w:t>
            </w:r>
          </w:p>
        </w:tc>
      </w:tr>
      <w:tr>
        <w:trPr>
          <w:trHeight w:val="20"/>
        </w:trPr>
        <w:tc>
          <w:tcPr>
            <w:tcW w:w="7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following table presents gross unrealized losses and fair values for those cash equivalents and marketable securities that were in an unrealized loss position as of March 31, 2025, aggregated by investment category and the length of time that individual securities have been in a continuous loss position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23"/>
        </w:trPr>
        <w:tc>
          <w:tcPr>
            <w:tcW w:w="5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0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00" w:type="dxa"/>
            <w:vAlign w:val="bottom"/>
          </w:tcPr>
          <w:p>
            <w:pPr>
              <w:spacing w:after="0"/>
              <w:rPr>
                <w:sz w:val="19"/>
                <w:szCs w:val="19"/>
                <w:color w:val="auto"/>
              </w:rPr>
            </w:pPr>
          </w:p>
        </w:tc>
        <w:tc>
          <w:tcPr>
            <w:tcW w:w="280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r>
      <w:tr>
        <w:trPr>
          <w:trHeight w:val="223"/>
        </w:trPr>
        <w:tc>
          <w:tcPr>
            <w:tcW w:w="5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Unrealized Loss</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Unrealized Loss</w:t>
            </w: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debt securities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138,460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do not believe the unrealized losses represent credit losses based on our evaluation of available evidence as of March 31, 2025, which includes an assessment of whether it is more likely than not we will be required to sell the investment before recovery of the investment's amortized cost basis.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Fair Value Measurements</w:t>
      </w:r>
    </w:p>
    <w:p>
      <w:pPr>
        <w:spacing w:after="0" w:line="1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We determine the fair values of our financial instruments based on the fair value hierarchy, which requires an entity to maximize the use of observable inputs and minimize the use of unobservable inputs when measuring fair value. Fair value is defined as the price that would be received to sell an asset or paid to transfer a liability in an orderly transaction between market participants at the measurement date. The fair value assumes that the transaction to sell the asset or transfer the liability occurs in the principal or most advantageous market for the asset or liability and establishes that the fair value of an asset or liability shall be determined based on the assumptions that market participants would use in pricing the asset or liability. The classification of a financial asset or liability within the hierarchy is based upon the lowest level input that is significant to the fair value measurement. The fair value hierarchy prioritizes the inputs into three levels that may be used to measure fair value:</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Level 1 - Inputs are unadjusted quoted prices in active markets for identical assets or liabilities.</w:t>
      </w:r>
    </w:p>
    <w:p>
      <w:pPr>
        <w:spacing w:after="0" w:line="108" w:lineRule="exact"/>
        <w:rPr>
          <w:sz w:val="20"/>
          <w:szCs w:val="20"/>
          <w:color w:val="auto"/>
        </w:rPr>
      </w:pPr>
    </w:p>
    <w:p>
      <w:pPr>
        <w:jc w:val="both"/>
        <w:ind w:left="1460" w:hanging="809"/>
        <w:spacing w:after="0" w:line="268" w:lineRule="auto"/>
        <w:rPr>
          <w:sz w:val="20"/>
          <w:szCs w:val="20"/>
          <w:color w:val="auto"/>
        </w:rPr>
      </w:pPr>
      <w:r>
        <w:rPr>
          <w:rFonts w:ascii="Times New Roman" w:cs="Times New Roman" w:eastAsia="Times New Roman" w:hAnsi="Times New Roman"/>
          <w:sz w:val="20"/>
          <w:szCs w:val="20"/>
          <w:color w:val="auto"/>
        </w:rPr>
        <w:t>Level 2 -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Level 3 - Inputs are unobservable inputs based on our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Assets</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Cash equivalents primarily consist of AAA-rated money market funds with overnight liquidity and no stated maturities. We classified cash equivalents as Level 1 due to the short-term nature of these instruments and measured the fair value based on quoted prices in active markets for identical assets.</w:t>
      </w:r>
    </w:p>
    <w:p>
      <w:pPr>
        <w:spacing w:after="0" w:line="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When available, our marketable securities are valued using quoted prices for identical instruments in active markets. If we are unable to value our marketable securities using quoted prices for identical instruments in active markets, we value our investments using broker reports that utilize quoted market prices for comparable instruments. We validate, on a sample basis, the derived prices provided by the brokers by comparing their assessment of the fair values of our investments against the fair values of the portfolio balances of another third-party professional pricing service. As of March 31, 2025, all of our marketable securities were valued using quoted prices for comparable instruments in active markets and are classified as Level 2.</w:t>
      </w:r>
    </w:p>
    <w:p>
      <w:pPr>
        <w:spacing w:after="0" w:line="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Based on our valuation of our money market funds and marketable securities, we concluded that they are classified in either Level 1 or Level 2, and we have no financial assets measured using Level 3 inputs on a recurring basis. The following table presents information about our assets that are measured at fair value on a recurring basis using the above input categories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Measurements as of March 31,</w:t>
            </w:r>
          </w:p>
        </w:tc>
        <w:tc>
          <w:tcPr>
            <w:tcW w:w="200" w:type="dxa"/>
            <w:vAlign w:val="bottom"/>
          </w:tcPr>
          <w:p>
            <w:pPr>
              <w:spacing w:after="0"/>
              <w:rPr>
                <w:sz w:val="17"/>
                <w:szCs w:val="17"/>
                <w:color w:val="auto"/>
              </w:rPr>
            </w:pPr>
          </w:p>
        </w:tc>
        <w:tc>
          <w:tcPr>
            <w:tcW w:w="2960" w:type="dxa"/>
            <w:vAlign w:val="bottom"/>
            <w:gridSpan w:val="7"/>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Fair Value Measurements as of</w:t>
            </w:r>
          </w:p>
        </w:tc>
      </w:tr>
      <w:tr>
        <w:trPr>
          <w:trHeight w:val="238"/>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800" w:type="dxa"/>
            <w:vAlign w:val="bottom"/>
            <w:tcBorders>
              <w:bottom w:val="single" w:sz="8" w:color="auto"/>
            </w:tcBorders>
          </w:tcPr>
          <w:p>
            <w:pPr>
              <w:spacing w:after="0"/>
              <w:rPr>
                <w:sz w:val="20"/>
                <w:szCs w:val="20"/>
                <w:color w:val="auto"/>
              </w:rPr>
            </w:pPr>
          </w:p>
        </w:tc>
      </w:tr>
      <w:tr>
        <w:trPr>
          <w:trHeight w:val="228"/>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Pr>
          <w:p>
            <w:pPr>
              <w:spacing w:after="0"/>
              <w:rPr>
                <w:sz w:val="19"/>
                <w:szCs w:val="19"/>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9"/>
                <w:szCs w:val="19"/>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r>
      <w:tr>
        <w:trPr>
          <w:trHeight w:val="223"/>
        </w:trPr>
        <w:tc>
          <w:tcPr>
            <w:tcW w:w="4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128,976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128,976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137,201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137,201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263,227</w:t>
            </w: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agency debt securities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81,022</w:t>
            </w: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178,852</w:t>
            </w:r>
          </w:p>
        </w:tc>
      </w:tr>
      <w:tr>
        <w:trPr>
          <w:trHeight w:val="223"/>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667,633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128,976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538,657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662,361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137,201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525,160</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marketable securities</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Senior Notes</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As of March 31, 2025, the fair value of our convertible senior notes due in 2026 and 2028 was $78.2 million and $653.4 million, respectively. The fair value was determined based on the quoted price of the convertible senior notes in an over-the-counter market on the last trading day of the reporting period and has been classified as Level 2 in the fair value hierarchy. See Note 5 to the condensed consolidated financial statements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Convertible Senior Notes</w:t>
      </w:r>
    </w:p>
    <w:p>
      <w:pPr>
        <w:spacing w:after="0" w:line="12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presents details of our convertible senior notes, which are further discussed below (original principal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Original Principal</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160" w:type="dxa"/>
            <w:vAlign w:val="bottom"/>
          </w:tcPr>
          <w:p>
            <w:pPr>
              <w:spacing w:after="0"/>
              <w:rPr>
                <w:sz w:val="16"/>
                <w:szCs w:val="16"/>
                <w:color w:val="auto"/>
              </w:rPr>
            </w:pPr>
          </w:p>
        </w:tc>
        <w:tc>
          <w:tcPr>
            <w:tcW w:w="104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Free Convertibility</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3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Conversion Rate</w:t>
            </w:r>
          </w:p>
        </w:tc>
        <w:tc>
          <w:tcPr>
            <w:tcW w:w="1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Month Issued</w:t>
            </w: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1520" w:type="dxa"/>
            <w:vAlign w:val="bottom"/>
            <w:gridSpan w:val="2"/>
            <w:vMerge w:val="continue"/>
          </w:tcPr>
          <w:p>
            <w:pPr>
              <w:spacing w:after="0"/>
              <w:rPr>
                <w:sz w:val="14"/>
                <w:szCs w:val="14"/>
                <w:color w:val="auto"/>
              </w:rPr>
            </w:pPr>
          </w:p>
        </w:tc>
        <w:tc>
          <w:tcPr>
            <w:tcW w:w="1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Redemption Date</w:t>
            </w:r>
          </w:p>
        </w:tc>
        <w:tc>
          <w:tcPr>
            <w:tcW w:w="120" w:type="dxa"/>
            <w:vAlign w:val="bottom"/>
          </w:tcPr>
          <w:p>
            <w:pPr>
              <w:spacing w:after="0"/>
              <w:rPr>
                <w:sz w:val="14"/>
                <w:szCs w:val="14"/>
                <w:color w:val="auto"/>
              </w:rPr>
            </w:pPr>
          </w:p>
        </w:tc>
        <w:tc>
          <w:tcPr>
            <w:tcW w:w="15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(including</w:t>
            </w:r>
          </w:p>
        </w:tc>
        <w:tc>
          <w:tcPr>
            <w:tcW w:w="13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per $1,000</w:t>
            </w:r>
          </w:p>
        </w:tc>
        <w:tc>
          <w:tcPr>
            <w:tcW w:w="160" w:type="dxa"/>
            <w:vAlign w:val="bottom"/>
          </w:tcPr>
          <w:p>
            <w:pPr>
              <w:spacing w:after="0"/>
              <w:rPr>
                <w:sz w:val="14"/>
                <w:szCs w:val="14"/>
                <w:color w:val="auto"/>
              </w:rPr>
            </w:pPr>
          </w:p>
        </w:tc>
        <w:tc>
          <w:tcPr>
            <w:tcW w:w="104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Conversion</w:t>
            </w:r>
          </w:p>
        </w:tc>
        <w:tc>
          <w:tcPr>
            <w:tcW w:w="0" w:type="dxa"/>
            <w:vAlign w:val="bottom"/>
          </w:tcPr>
          <w:p>
            <w:pPr>
              <w:spacing w:after="0"/>
              <w:rPr>
                <w:sz w:val="1"/>
                <w:szCs w:val="1"/>
                <w:color w:val="auto"/>
              </w:rPr>
            </w:pPr>
          </w:p>
        </w:tc>
      </w:tr>
      <w:tr>
        <w:trPr>
          <w:trHeight w:val="214"/>
        </w:trPr>
        <w:tc>
          <w:tcPr>
            <w:tcW w:w="14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5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overallotment)</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6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211"/>
        </w:trPr>
        <w:tc>
          <w:tcPr>
            <w:tcW w:w="1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 Notes</w:t>
            </w:r>
          </w:p>
        </w:tc>
        <w:tc>
          <w:tcPr>
            <w:tcW w:w="12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August 2019</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August 15, 2026</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May 15, 2026</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9"/>
              </w:rPr>
              <w:t>August 21, 2023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345,000</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12.4756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80.16</w:t>
            </w:r>
          </w:p>
        </w:tc>
        <w:tc>
          <w:tcPr>
            <w:tcW w:w="0" w:type="dxa"/>
            <w:vAlign w:val="bottom"/>
          </w:tcPr>
          <w:p>
            <w:pPr>
              <w:spacing w:after="0"/>
              <w:rPr>
                <w:sz w:val="1"/>
                <w:szCs w:val="1"/>
                <w:color w:val="auto"/>
              </w:rPr>
            </w:pPr>
          </w:p>
        </w:tc>
      </w:tr>
      <w:tr>
        <w:trPr>
          <w:trHeight w:val="210"/>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 Notes</w:t>
            </w: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August 2023</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August 15, 2028</w:t>
            </w:r>
          </w:p>
        </w:tc>
        <w:tc>
          <w:tcPr>
            <w:tcW w:w="15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May 15, 2028</w:t>
            </w:r>
          </w:p>
        </w:tc>
        <w:tc>
          <w:tcPr>
            <w:tcW w:w="1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August 21, 2026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702,000</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7.4690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133.89</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In August 2019, we issued $345.0 million aggregate principal amount of 1.125% convertible senior notes due 2026 in a private placement to qualified institutional buyers pursuant to Rule 144A under the Securities Act of 1933, as amended, including the exercise in full by the initial purchasers of their option to purchase an additional $45.0 million principal amount (the "2026 Notes”). The 2026 Notes bear interest at a fixed rate of 1.125% per annum, payable semi-annually in arrears on February 15 and August 15 of each year, commencing on February 15, 2020. Proceeds from the issuance of the 2026 Notes totaled $335.9 million, net of initial purchaser discounts and issuance costs.</w:t>
      </w:r>
    </w:p>
    <w:p>
      <w:pPr>
        <w:spacing w:after="0" w:line="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August 2023, we issued $702.0 million aggregate principal amount of 1.250% convertible senior notes due 2028 in a private placement to qualified institutional buyers pursuant to Rule 144A under the Securities Act of 1933, as amended, including the partial exercise of 77.0 million principal amount by the initial purchasers of their option to purchase up to an additional $100 million principal amount (the "2028 Notes”). The 2028 Notes bear interest at a fixed rate of 1.250% per annum, payable semi-annually in arrears on February 15 and August 15 of each year, commencing on February 15, 2024. Proceeds from the issuance of the 2028 Notes totaled $691.1 million, net of initial purchaser discounts and issuance costs.</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2026 Notes and the 2028 Notes are together referred to as the "Notes".</w:t>
      </w:r>
    </w:p>
    <w:p>
      <w:pPr>
        <w:spacing w:after="0" w:line="12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Notes were issued pursuant to an indenture and are senior, unsecured obligations of the Company. The 2028 Notes will rank equally with all of the Company’s existing and future senior unsecured indebtedness, including the Company’s outstanding 2026 Notes.</w:t>
      </w:r>
    </w:p>
    <w:p>
      <w:pPr>
        <w:spacing w:after="0" w:line="65"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Holders of the Notes may convert all or a portion of their Notes prior to the close of business on their respective Free Convertibility dates, in multiples of $1,000 principal amount, only under the following circumstances:</w:t>
      </w:r>
    </w:p>
    <w:p>
      <w:pPr>
        <w:spacing w:after="0" w:line="65" w:lineRule="exact"/>
        <w:rPr>
          <w:sz w:val="20"/>
          <w:szCs w:val="20"/>
          <w:color w:val="auto"/>
        </w:rPr>
      </w:pPr>
    </w:p>
    <w:p>
      <w:pPr>
        <w:jc w:val="both"/>
        <w:ind w:left="980" w:hanging="324"/>
        <w:spacing w:after="0" w:line="253" w:lineRule="auto"/>
        <w:tabs>
          <w:tab w:leader="none" w:pos="96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calendar quarter commencing after the calendar quarter in which the respective Notes were issued (and only during such calendar quarter), if the last reported sale price of our Class A common stock, par value $0.001 per share,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83" w:lineRule="exact"/>
        <w:rPr>
          <w:rFonts w:ascii="Times New Roman" w:cs="Times New Roman" w:eastAsia="Times New Roman" w:hAnsi="Times New Roman"/>
          <w:sz w:val="20"/>
          <w:szCs w:val="20"/>
          <w:color w:val="auto"/>
        </w:rPr>
      </w:pPr>
    </w:p>
    <w:p>
      <w:pPr>
        <w:jc w:val="both"/>
        <w:ind w:left="980" w:hanging="324"/>
        <w:spacing w:after="0" w:line="258" w:lineRule="auto"/>
        <w:tabs>
          <w:tab w:leader="none" w:pos="96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five consecutive business day period immediately following any ten consecutive trading day period (the “measurement period”) in which the trading price (as defined below) per $1,000 principal amount of Notes for each trading day of the measurement period was less than 98% of the product of the last reported sale price of our Class A common stock and the conversion rate on each such trading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80" w:hanging="324"/>
        <w:spacing w:after="0" w:line="283" w:lineRule="auto"/>
        <w:tabs>
          <w:tab w:leader="none" w:pos="96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call any or all of the Notes for redemption, at any time prior to the close of business on the scheduled trading day immediately preceding the redemption date; or</w:t>
      </w:r>
    </w:p>
    <w:p>
      <w:pPr>
        <w:spacing w:after="0" w:line="3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certain specified corporate events as set forth in the relevant indenture.</w:t>
      </w:r>
    </w:p>
    <w:p>
      <w:pPr>
        <w:spacing w:after="0" w:line="12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On or after the relevant Free Convertibility Date, holders of the Notes may convert their Notes at any time until the close of business on the second scheduled trading day immediately preceding the maturity date of the Notes.</w:t>
      </w:r>
    </w:p>
    <w:p>
      <w:pPr>
        <w:spacing w:after="0" w:line="6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Upon conversion, we will pay or deliver, as the case may be, cash, shares of our Class A common stock or a combination of cash and shares of our Class A common stock, at our election, in the manner and subject to the terms and conditions provided in the indenture.</w:t>
      </w:r>
    </w:p>
    <w:p>
      <w:pPr>
        <w:spacing w:after="0" w:line="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may redeem for cash all or any portion of the Notes, at its option, on or after the respective Redemption Date,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any accrued and unpaid interest to, but excluding, the respective Redemption Date.</w:t>
      </w:r>
    </w:p>
    <w:p>
      <w:pPr>
        <w:spacing w:after="0" w:line="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During the first quarter of 2025 none of the conversion conditions were met and therefore the Notes are not convertible at the option of the holders. As a result, the Notes were classified as non-current liabilities on the condensed consolidated balance sheet as of March 31, 2025.</w:t>
      </w:r>
    </w:p>
    <w:p>
      <w:pPr>
        <w:spacing w:after="0" w:line="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Interest expense representing the amortization of issuance costs as well as contractual interest expense is amortized to interest expense at an effective interest rate of 1.5% and 1.6% over the term of the 2026 Notes and 2028 Notes, respectively.</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As of March 31, 2025, the remaining life of the 2026 Notes and 2028 Notes were approximately 1.3 years and 3.4 years, respectively.</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net carrying amount of the Notes was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19"/>
                <w:szCs w:val="19"/>
                <w:color w:val="auto"/>
              </w:rPr>
            </w:pPr>
          </w:p>
        </w:tc>
        <w:tc>
          <w:tcPr>
            <w:tcW w:w="4160" w:type="dxa"/>
            <w:vAlign w:val="bottom"/>
            <w:gridSpan w:val="6"/>
          </w:tcPr>
          <w:p>
            <w:pPr>
              <w:ind w:left="122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340" w:type="dxa"/>
            <w:vAlign w:val="bottom"/>
          </w:tcPr>
          <w:p>
            <w:pPr>
              <w:spacing w:after="0"/>
              <w:rPr>
                <w:sz w:val="19"/>
                <w:szCs w:val="19"/>
                <w:color w:val="auto"/>
              </w:rPr>
            </w:pPr>
          </w:p>
        </w:tc>
        <w:tc>
          <w:tcPr>
            <w:tcW w:w="3740" w:type="dxa"/>
            <w:vAlign w:val="bottom"/>
            <w:gridSpan w:val="4"/>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r>
      <w:tr>
        <w:trPr>
          <w:trHeight w:val="238"/>
        </w:trPr>
        <w:tc>
          <w:tcPr>
            <w:tcW w:w="30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 Notes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2028 Notes</w:t>
            </w:r>
          </w:p>
        </w:tc>
        <w:tc>
          <w:tcPr>
            <w:tcW w:w="340" w:type="dxa"/>
            <w:vAlign w:val="bottom"/>
          </w:tcPr>
          <w:p>
            <w:pPr>
              <w:spacing w:after="0"/>
              <w:rPr>
                <w:sz w:val="20"/>
                <w:szCs w:val="20"/>
                <w:color w:val="auto"/>
              </w:rPr>
            </w:pPr>
          </w:p>
        </w:tc>
        <w:tc>
          <w:tcPr>
            <w:tcW w:w="17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2026 Notes</w:t>
            </w:r>
          </w:p>
        </w:tc>
        <w:tc>
          <w:tcPr>
            <w:tcW w:w="340" w:type="dxa"/>
            <w:vAlign w:val="bottom"/>
          </w:tcPr>
          <w:p>
            <w:pPr>
              <w:spacing w:after="0"/>
              <w:rPr>
                <w:sz w:val="20"/>
                <w:szCs w:val="20"/>
                <w:color w:val="auto"/>
              </w:rPr>
            </w:pP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2028 Notes</w:t>
            </w: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142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71,242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702,000</w:t>
            </w:r>
          </w:p>
        </w:tc>
      </w:tr>
      <w:tr>
        <w:trPr>
          <w:trHeight w:val="229"/>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14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(7,910)</w:t>
            </w:r>
          </w:p>
        </w:tc>
      </w:tr>
      <w:tr>
        <w:trPr>
          <w:trHeight w:val="248"/>
        </w:trPr>
        <w:tc>
          <w:tcPr>
            <w:tcW w:w="3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carrying amount</w:t>
            </w:r>
          </w:p>
        </w:tc>
        <w:tc>
          <w:tcPr>
            <w:tcW w:w="142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70,869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694,632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694,090</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Interest expense related to the Notes was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40" w:type="dxa"/>
            <w:vAlign w:val="bottom"/>
            <w:tcBorders>
              <w:bottom w:val="single" w:sz="8" w:color="auto"/>
            </w:tcBorders>
          </w:tcPr>
          <w:p>
            <w:pPr>
              <w:spacing w:after="0"/>
              <w:rPr>
                <w:sz w:val="20"/>
                <w:szCs w:val="20"/>
                <w:color w:val="auto"/>
              </w:rPr>
            </w:pPr>
          </w:p>
        </w:tc>
      </w:tr>
      <w:tr>
        <w:trPr>
          <w:trHeight w:val="223"/>
        </w:trPr>
        <w:tc>
          <w:tcPr>
            <w:tcW w:w="76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r>
      <w:tr>
        <w:trPr>
          <w:trHeight w:val="22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r>
      <w:tr>
        <w:trPr>
          <w:trHeight w:val="23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48"/>
        </w:trPr>
        <w:tc>
          <w:tcPr>
            <w:tcW w:w="7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 expense</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8240" w:firstLine="8"/>
        <w:spacing w:after="0" w:line="361" w:lineRule="auto"/>
        <w:tabs>
          <w:tab w:leader="none" w:pos="198"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Commitments and Contingencies </w:t>
      </w:r>
      <w:r>
        <w:rPr>
          <w:rFonts w:ascii="Times New Roman" w:cs="Times New Roman" w:eastAsia="Times New Roman" w:hAnsi="Times New Roman"/>
          <w:sz w:val="20"/>
          <w:szCs w:val="20"/>
          <w:b w:val="1"/>
          <w:bCs w:val="1"/>
          <w:i w:val="1"/>
          <w:iCs w:val="1"/>
          <w:color w:val="auto"/>
        </w:rPr>
        <w:t>Litigation</w:t>
      </w:r>
    </w:p>
    <w:p>
      <w:pPr>
        <w:spacing w:after="0" w:line="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From time to time we may become involved in legal proceedings or be subject to claims arising in the ordinary course of our business. We evaluate the development of legal matters on a regular basis and accrue a liability when we believe a loss is probable and the amount can be reasonably estimated. Although the results of litigation and claims cannot be predicted with certainty, we currently believe that the final outcome of any currently pending legal proceedings to which we are a party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Stock-Based Compensation</w:t>
      </w:r>
    </w:p>
    <w:p>
      <w:pPr>
        <w:spacing w:after="0" w:line="11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We grant stock-based incentive awards to attract, motivate and retain qualified employees, non-employee directors and consultants, and to align their financial interests with those of our stockholders. We utilize stock-based compensation in the form of restricted stock units, performance restricted stock units, options to purchase Class A common stock and Employee Stock Purchase Plan ("ESPP") purchase rights. Prior to our corporate conversion in December 2014, awards were provided under the 2009 Unit Incentive Plan (“the 2009 Plan”). The 2009 Plan was amended to provide that no further awards will be issued thereunder, and our board of directors and stockholders adopted and approved our 2014 Equity Incentive Plan ("the Plan"). As of December 31, 2024, there were no awards outstanding under the 2009 Plan.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2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Stock-based compensation expense was recorded in the following cost and expense categories consistent with the respective employee or service provider’s related cash compensation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37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40" w:type="dxa"/>
            <w:vAlign w:val="bottom"/>
            <w:tcBorders>
              <w:bottom w:val="single" w:sz="8" w:color="auto"/>
            </w:tcBorders>
          </w:tcPr>
          <w:p>
            <w:pPr>
              <w:spacing w:after="0"/>
              <w:rPr>
                <w:sz w:val="20"/>
                <w:szCs w:val="20"/>
                <w:color w:val="auto"/>
              </w:rPr>
            </w:pPr>
          </w:p>
        </w:tc>
      </w:tr>
      <w:tr>
        <w:trPr>
          <w:trHeight w:val="223"/>
        </w:trPr>
        <w:tc>
          <w:tcPr>
            <w:tcW w:w="68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19"/>
                <w:szCs w:val="19"/>
                <w:color w:val="auto"/>
              </w:rPr>
            </w:pPr>
          </w:p>
        </w:tc>
      </w:tr>
      <w:tr>
        <w:trPr>
          <w:trHeight w:val="20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20" w:type="dxa"/>
            <w:vAlign w:val="bottom"/>
          </w:tcPr>
          <w:p>
            <w:pPr>
              <w:spacing w:after="0"/>
              <w:rPr>
                <w:sz w:val="19"/>
                <w:szCs w:val="19"/>
                <w:color w:val="auto"/>
              </w:rPr>
            </w:pP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r>
      <w:tr>
        <w:trPr>
          <w:trHeight w:val="230"/>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1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w:t>
            </w:r>
          </w:p>
        </w:tc>
      </w:tr>
      <w:tr>
        <w:trPr>
          <w:trHeight w:val="230"/>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9,751</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w:t>
            </w:r>
          </w:p>
        </w:tc>
      </w:tr>
      <w:tr>
        <w:trPr>
          <w:trHeight w:val="230"/>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8,658</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3"/>
        </w:trPr>
        <w:tc>
          <w:tcPr>
            <w:tcW w:w="6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27,888</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23,007</w:t>
            </w:r>
          </w:p>
        </w:tc>
      </w:tr>
      <w:tr>
        <w:trPr>
          <w:trHeight w:val="20"/>
        </w:trPr>
        <w:tc>
          <w:tcPr>
            <w:tcW w:w="68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option activity under the Plan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18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6"/>
                <w:szCs w:val="16"/>
                <w:color w:val="auto"/>
              </w:rPr>
            </w:pPr>
          </w:p>
        </w:tc>
        <w:tc>
          <w:tcPr>
            <w:tcW w:w="1340" w:type="dxa"/>
            <w:vAlign w:val="bottom"/>
          </w:tcPr>
          <w:p>
            <w:pPr>
              <w:jc w:val="center"/>
              <w:ind w:left="410"/>
              <w:spacing w:after="0" w:line="189"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19"/>
                <w:szCs w:val="19"/>
                <w:color w:val="auto"/>
              </w:rPr>
            </w:pPr>
          </w:p>
        </w:tc>
        <w:tc>
          <w:tcPr>
            <w:tcW w:w="18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8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892,396</w:t>
            </w:r>
          </w:p>
        </w:tc>
        <w:tc>
          <w:tcPr>
            <w:tcW w:w="1440" w:type="dxa"/>
            <w:vAlign w:val="bottom"/>
            <w:gridSpan w:val="2"/>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14.09</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8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(44,245)</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8"/>
              </w:rPr>
              <w:t>14.26</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88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848,151</w:t>
            </w:r>
          </w:p>
        </w:tc>
        <w:tc>
          <w:tcPr>
            <w:tcW w:w="1440" w:type="dxa"/>
            <w:vAlign w:val="bottom"/>
            <w:tcBorders>
              <w:bottom w:val="single" w:sz="8" w:color="CCEEFF"/>
            </w:tcBorders>
            <w:gridSpan w:val="2"/>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March 31, 2025</w:t>
            </w:r>
          </w:p>
        </w:tc>
        <w:tc>
          <w:tcPr>
            <w:tcW w:w="18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848,151</w:t>
            </w:r>
          </w:p>
        </w:tc>
        <w:tc>
          <w:tcPr>
            <w:tcW w:w="1440" w:type="dxa"/>
            <w:vAlign w:val="bottom"/>
            <w:gridSpan w:val="2"/>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14.09</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 and Performance Restricted Stock Units</w:t>
      </w:r>
    </w:p>
    <w:p>
      <w:pPr>
        <w:spacing w:after="0" w:line="11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following table summarizes the restricted stock unit and performance restricted stock unit activity under the Plan for the three months ended March 31, 2025:</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4"/>
        </w:trPr>
        <w:tc>
          <w:tcPr>
            <w:tcW w:w="6800" w:type="dxa"/>
            <w:vAlign w:val="bottom"/>
          </w:tcPr>
          <w:p>
            <w:pPr>
              <w:spacing w:after="0"/>
              <w:rPr>
                <w:sz w:val="16"/>
                <w:szCs w:val="16"/>
                <w:color w:val="auto"/>
              </w:rPr>
            </w:pPr>
          </w:p>
        </w:tc>
        <w:tc>
          <w:tcPr>
            <w:tcW w:w="21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19"/>
                <w:szCs w:val="19"/>
                <w:color w:val="auto"/>
              </w:rPr>
            </w:pPr>
          </w:p>
        </w:tc>
        <w:tc>
          <w:tcPr>
            <w:tcW w:w="21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Grant Date Fair Value</w:t>
            </w:r>
          </w:p>
        </w:tc>
        <w:tc>
          <w:tcPr>
            <w:tcW w:w="0" w:type="dxa"/>
            <w:vAlign w:val="bottom"/>
          </w:tcPr>
          <w:p>
            <w:pPr>
              <w:spacing w:after="0"/>
              <w:rPr>
                <w:sz w:val="1"/>
                <w:szCs w:val="1"/>
                <w:color w:val="auto"/>
              </w:rPr>
            </w:pPr>
          </w:p>
        </w:tc>
      </w:tr>
      <w:tr>
        <w:trPr>
          <w:trHeight w:val="209"/>
        </w:trPr>
        <w:tc>
          <w:tcPr>
            <w:tcW w:w="68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2,723,666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1,186,555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(692,200)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98.93</w:t>
            </w:r>
          </w:p>
        </w:tc>
        <w:tc>
          <w:tcPr>
            <w:tcW w:w="0" w:type="dxa"/>
            <w:vAlign w:val="bottom"/>
          </w:tcPr>
          <w:p>
            <w:pPr>
              <w:spacing w:after="0"/>
              <w:rPr>
                <w:sz w:val="1"/>
                <w:szCs w:val="1"/>
                <w:color w:val="auto"/>
              </w:rPr>
            </w:pP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March 31, 2025</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3,144,913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right="20" w:firstLine="8"/>
        <w:spacing w:after="0" w:line="280" w:lineRule="auto"/>
        <w:tabs>
          <w:tab w:leader="none" w:pos="24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March 31, 2025, in accordance with our Nonqualified Deferred Compensation Plan, no recipients elected to defer settlement of their vested restricted stock units and 5,216 shares were released from deferral.</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11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During the three months ended March 31, 2025, 118,674 shares of common stock were purchased under the ESPP at a weighted-average price of $63.49 per share, resulting in cash proceeds of $7.5 million.</w:t>
      </w:r>
    </w:p>
    <w:p>
      <w:pPr>
        <w:spacing w:after="0" w:line="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Compensation expense associated with ESPP purchase rights is recognized on a straight-line basis over the vesting period. At March 31, 2025, there was approximately $1.5 million of total unrecognized compensation expense related to the ESPP, which is expected to be recognized over a weighted-average period of 0.3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9020" w:firstLine="8"/>
        <w:spacing w:after="0" w:line="433" w:lineRule="auto"/>
        <w:tabs>
          <w:tab w:leader="none" w:pos="198" w:val="left"/>
        </w:tabs>
        <w:numPr>
          <w:ilvl w:val="0"/>
          <w:numId w:val="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Revenue Recognition </w:t>
      </w:r>
      <w:r>
        <w:rPr>
          <w:rFonts w:ascii="Times New Roman" w:cs="Times New Roman" w:eastAsia="Times New Roman" w:hAnsi="Times New Roman"/>
          <w:sz w:val="19"/>
          <w:szCs w:val="19"/>
          <w:b w:val="1"/>
          <w:bCs w:val="1"/>
          <w:i w:val="1"/>
          <w:iCs w:val="1"/>
          <w:color w:val="auto"/>
        </w:rPr>
        <w:t>Disaggregation of Revenue</w:t>
      </w:r>
    </w:p>
    <w:p>
      <w:pPr>
        <w:spacing w:after="0" w:line="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our revenues disaggregated by type of good or service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36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80" w:type="dxa"/>
            <w:vAlign w:val="bottom"/>
            <w:tcBorders>
              <w:bottom w:val="single" w:sz="8" w:color="auto"/>
            </w:tcBorders>
          </w:tcPr>
          <w:p>
            <w:pPr>
              <w:spacing w:after="0"/>
              <w:rPr>
                <w:sz w:val="20"/>
                <w:szCs w:val="20"/>
                <w:color w:val="auto"/>
              </w:rPr>
            </w:pPr>
          </w:p>
        </w:tc>
      </w:tr>
      <w:tr>
        <w:trPr>
          <w:trHeight w:val="223"/>
        </w:trPr>
        <w:tc>
          <w:tcPr>
            <w:tcW w:w="68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19"/>
                <w:szCs w:val="19"/>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185,512</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154,979</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professional services</w:t>
            </w:r>
          </w:p>
        </w:tc>
        <w:tc>
          <w:tcPr>
            <w:tcW w:w="1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17,940</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17,593</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1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r>
      <w:tr>
        <w:trPr>
          <w:trHeight w:val="223"/>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380" w:type="dxa"/>
            <w:vAlign w:val="bottom"/>
            <w:tcBorders>
              <w:bottom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206,280</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175,667</w:t>
            </w:r>
          </w:p>
        </w:tc>
      </w:tr>
      <w:tr>
        <w:trPr>
          <w:trHeight w:val="21"/>
        </w:trPr>
        <w:tc>
          <w:tcPr>
            <w:tcW w:w="68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Revenue</w:t>
      </w:r>
    </w:p>
    <w:p>
      <w:pPr>
        <w:spacing w:after="0" w:line="11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We recognized $170.2 million and $142.3 million of revenue during the three months ended March 31, 2025 and 2024, respectively, that was included in the deferred revenue balances at the beginning of the respective periods.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 Price Allocated to the Remaining Performance Obligations</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As of March 31, 2025, we expect revenue of approximately $1.2 billion to be recognized from remaining performance obligations for subscription contracts. We expect to recognize approximately $636.3 million of these remaining performance obligations over the next 12 months with the balance substantially recognized in the 24 months thereafter.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Intangible Assets and Goodwill</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the components of net intangible assets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00" w:type="dxa"/>
            <w:vAlign w:val="bottom"/>
          </w:tcPr>
          <w:p>
            <w:pPr>
              <w:spacing w:after="0"/>
              <w:rPr>
                <w:sz w:val="13"/>
                <w:szCs w:val="13"/>
                <w:color w:val="auto"/>
              </w:rPr>
            </w:pPr>
          </w:p>
        </w:tc>
        <w:tc>
          <w:tcPr>
            <w:tcW w:w="11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11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4"/>
                <w:szCs w:val="14"/>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4"/>
                <w:szCs w:val="14"/>
                <w:color w:val="auto"/>
              </w:rPr>
            </w:pPr>
          </w:p>
        </w:tc>
        <w:tc>
          <w:tcPr>
            <w:tcW w:w="10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11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w:t>
            </w:r>
          </w:p>
        </w:tc>
        <w:tc>
          <w:tcPr>
            <w:tcW w:w="13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2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10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11"/>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technology</w:t>
            </w: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14,106</w:t>
            </w: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Acquired customer-related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11,738</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trade names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13"/>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10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0" w:type="dxa"/>
            <w:vAlign w:val="bottom"/>
          </w:tcPr>
          <w:p>
            <w:pPr>
              <w:spacing w:after="0"/>
              <w:rPr>
                <w:sz w:val="1"/>
                <w:szCs w:val="1"/>
                <w:color w:val="auto"/>
              </w:rPr>
            </w:pPr>
          </w:p>
        </w:tc>
      </w:tr>
      <w:tr>
        <w:trPr>
          <w:trHeight w:val="237"/>
        </w:trPr>
        <w:tc>
          <w:tcPr>
            <w:tcW w:w="2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27,389</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 the first quarter of the subsequent annual period in which an intangible asset becomes fully amortized, the gross carrying amount and accumulated amortization are removed from the preceding table.</w:t>
      </w:r>
    </w:p>
    <w:p>
      <w:pPr>
        <w:spacing w:after="0" w:line="65"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Amortization expense related to intangible assets was $1.9 million and $1.4 million for the three months ended March 31, 2025 and 2024, respectively.</w:t>
      </w:r>
    </w:p>
    <w:p>
      <w:pPr>
        <w:spacing w:after="0" w:line="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March 31, 2025, expected remaining amortization expense of intangible assets by fiscal year is as follows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142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expected amortization expense</w:t>
            </w:r>
          </w:p>
        </w:tc>
        <w:tc>
          <w:tcPr>
            <w:tcW w:w="142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20"/>
                <w:szCs w:val="20"/>
                <w:color w:val="auto"/>
              </w:rPr>
              <w:t>The changes in the carrying amount of goodwill were as follows (in thousands):</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6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42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196,844</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42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199,724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Net Loss Per Share</w:t>
      </w:r>
    </w:p>
    <w:p>
      <w:pPr>
        <w:spacing w:after="0" w:line="11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Net loss per share is allocated based on the contractual participation rights of the Class A and Class B common shares as if the loss for the year has been distributed. As the liquidation and dividend rights are identical, the net loss is allocated on a proportionate basis.</w:t>
      </w:r>
    </w:p>
    <w:p>
      <w:pPr>
        <w:spacing w:after="0" w:line="5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A reconciliation of the denominator used in the calculation of basic and diluted loss per share is as follows (in thousands, except share and per share data):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23"/>
        </w:trPr>
        <w:tc>
          <w:tcPr>
            <w:tcW w:w="5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4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Pr>
          <w:p>
            <w:pPr>
              <w:spacing w:after="0"/>
              <w:rPr>
                <w:sz w:val="19"/>
                <w:szCs w:val="19"/>
                <w:color w:val="auto"/>
              </w:rPr>
            </w:pPr>
          </w:p>
        </w:tc>
        <w:tc>
          <w:tcPr>
            <w:tcW w:w="25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23"/>
        </w:trPr>
        <w:tc>
          <w:tcPr>
            <w:tcW w:w="55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Class B</w:t>
            </w:r>
          </w:p>
        </w:tc>
      </w:tr>
      <w:tr>
        <w:trPr>
          <w:trHeight w:val="209"/>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70"/>
        </w:trPr>
        <w:tc>
          <w:tcPr>
            <w:tcW w:w="55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52,311,950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3,845,583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51,070,269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3,845,583</w:t>
            </w: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anti-dilutive securities excluded from the weighted-average shares used to calculate the diluted net loss per common share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2600" w:type="dxa"/>
            <w:vAlign w:val="bottom"/>
            <w:tcBorders>
              <w:bottom w:val="single" w:sz="8" w:color="auto"/>
            </w:tcBorders>
            <w:gridSpan w:val="3"/>
          </w:tcPr>
          <w:p>
            <w:pPr>
              <w:ind w:left="20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40" w:type="dxa"/>
            <w:vAlign w:val="bottom"/>
            <w:tcBorders>
              <w:bottom w:val="single" w:sz="8" w:color="auto"/>
            </w:tcBorders>
          </w:tcPr>
          <w:p>
            <w:pPr>
              <w:spacing w:after="0"/>
              <w:rPr>
                <w:sz w:val="20"/>
                <w:szCs w:val="20"/>
                <w:color w:val="auto"/>
              </w:rPr>
            </w:pPr>
          </w:p>
        </w:tc>
      </w:tr>
      <w:tr>
        <w:trPr>
          <w:trHeight w:val="223"/>
        </w:trPr>
        <w:tc>
          <w:tcPr>
            <w:tcW w:w="6800" w:type="dxa"/>
            <w:vAlign w:val="bottom"/>
          </w:tcPr>
          <w:p>
            <w:pPr>
              <w:spacing w:after="0"/>
              <w:rPr>
                <w:sz w:val="19"/>
                <w:szCs w:val="19"/>
                <w:color w:val="auto"/>
              </w:rPr>
            </w:pPr>
          </w:p>
        </w:tc>
        <w:tc>
          <w:tcPr>
            <w:tcW w:w="260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common stock options</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848,151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1,192,676</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subject to unvested restricted stock units and performance restricted stock units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3,144,913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2,531,111</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pursuant to the ESPP</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98,587</w:t>
            </w: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underlying our convertible senior notes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6,132,025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6,132,025</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Geographic Information</w:t>
      </w:r>
    </w:p>
    <w:p>
      <w:pPr>
        <w:spacing w:after="0" w:line="1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Our chief operating decision maker is our Chief Executive Officer. Our CEO reviews financial information presented on a consolidated basis for purposes of allocating resources and evaluating financial performance. There are no segment managers who are held accountable by the chief operating decision maker, or anyone else, for operations, operating results and planning for levels or components below the consolidated unit level. Accordingly, we determined we have one operating and reportable segment.</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Revenues by geographical region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36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80" w:type="dxa"/>
            <w:vAlign w:val="bottom"/>
            <w:tcBorders>
              <w:bottom w:val="single" w:sz="8" w:color="auto"/>
            </w:tcBorders>
          </w:tcPr>
          <w:p>
            <w:pPr>
              <w:spacing w:after="0"/>
              <w:rPr>
                <w:sz w:val="20"/>
                <w:szCs w:val="20"/>
                <w:color w:val="auto"/>
              </w:rPr>
            </w:pPr>
          </w:p>
        </w:tc>
      </w:tr>
      <w:tr>
        <w:trPr>
          <w:trHeight w:val="223"/>
        </w:trPr>
        <w:tc>
          <w:tcPr>
            <w:tcW w:w="68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19"/>
                <w:szCs w:val="19"/>
                <w:color w:val="auto"/>
              </w:rPr>
            </w:pPr>
          </w:p>
        </w:tc>
      </w:tr>
      <w:tr>
        <w:trPr>
          <w:trHeight w:val="20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and support revenue</w:t>
            </w:r>
          </w:p>
        </w:tc>
        <w:tc>
          <w:tcPr>
            <w:tcW w:w="1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13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149,336</w:t>
            </w:r>
          </w:p>
        </w:tc>
        <w:tc>
          <w:tcPr>
            <w:tcW w:w="120" w:type="dxa"/>
            <w:vAlign w:val="bottom"/>
          </w:tcPr>
          <w:p>
            <w:pPr>
              <w:spacing w:after="0"/>
              <w:rPr>
                <w:sz w:val="19"/>
                <w:szCs w:val="19"/>
                <w:color w:val="auto"/>
              </w:rPr>
            </w:pPr>
          </w:p>
        </w:tc>
        <w:tc>
          <w:tcPr>
            <w:tcW w:w="13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128,473</w:t>
            </w:r>
          </w:p>
        </w:tc>
      </w:tr>
      <w:tr>
        <w:trPr>
          <w:trHeight w:val="23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36,176</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26,506</w:t>
            </w: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 revenue</w:t>
            </w: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18,379</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18,227</w:t>
            </w:r>
          </w:p>
        </w:tc>
      </w:tr>
      <w:tr>
        <w:trPr>
          <w:trHeight w:val="230"/>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w:t>
            </w:r>
          </w:p>
        </w:tc>
      </w:tr>
      <w:tr>
        <w:trPr>
          <w:trHeight w:val="248"/>
        </w:trPr>
        <w:tc>
          <w:tcPr>
            <w:tcW w:w="68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206,280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175,667</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Revenues by geography are generally based on the country of the customer as specified in our subscription order. Total Americas revenue attributed to the U.S. was approximately 92% and 93% during the three months ended March 31, 2025 and 2024, respectively. No other country represented more than 10% of total revenue during the periods presented.</w:t>
      </w:r>
    </w:p>
    <w:p>
      <w:pPr>
        <w:spacing w:after="0" w:line="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Our long-lived assets, which primarily consist of property and equipment and operating lease right-of-use assets, are attributed to a country based on the physical location of the assets. Aggregate long-lived assets by geographical region consisted of the following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120" w:type="dxa"/>
            <w:vAlign w:val="bottom"/>
          </w:tcPr>
          <w:p>
            <w:pPr>
              <w:spacing w:after="0"/>
              <w:rPr>
                <w:sz w:val="20"/>
                <w:szCs w:val="20"/>
                <w:color w:val="auto"/>
              </w:rPr>
            </w:pP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of December 31, 2024</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29,148</w:t>
            </w:r>
          </w:p>
        </w:tc>
      </w:tr>
      <w:tr>
        <w:trPr>
          <w:trHeight w:val="23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w:t>
            </w:r>
          </w:p>
        </w:tc>
      </w:tr>
      <w:tr>
        <w:trPr>
          <w:trHeight w:val="248"/>
        </w:trPr>
        <w:tc>
          <w:tcPr>
            <w:tcW w:w="6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33,611</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Management’s Discussion and Analysis of Financial Condition and Results of Operations</w:t>
      </w:r>
    </w:p>
    <w:p>
      <w:pPr>
        <w:spacing w:after="0" w:line="12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our operations should be read in conjunction with the condensed consolidated financial statements and related notes included elsewhere in this report and in our Annual Report on Form 10-K filed with the Securities and Exchange Commission on February 25, 2025. In addition to historical consolidated financial information, this discussion contains forward-looking statements that involve risks and uncertainties. Our actual results could differ materially from those discussed below. Factors that could cause or contribute to these differences include, but are not limited to, those identified below, and those discussed in “Item 1A. Risk Factors” of our Annual Report on Form 10-K for the year ended December 31, 2024, in “Item 1A. Risk Factors” in Part II of this Quarterly Report on Form 10-Q and in any subsequent filing we make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1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The Workiva platform is built for transparency, accountability, and trust. We believe that all stakeholders, including consumers, employees, shareholders, and regulators expect more from business – more action, transparency, and disclosure of financial and non-financial information. We build solutions to meet that demand and streamline processes, connect data and teams, and ensure consistency – all within the Workiva platform. Our leading unified software-as-a-service (“SaaS”) platform brings customers’ financial reporting, sustainability management, and Governance, Risk, and Compliance (“GRC”) together in a controlled, secure, audit-ready platform.</w:t>
      </w:r>
    </w:p>
    <w:p>
      <w:pPr>
        <w:spacing w:after="0" w:line="6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From data to disclosure, the Workiva platform empowers customers by connecting and transforming data from hundreds of enterprise resource planning (“ERP”), human capital management (“HCM”), and customer relationship management (“CRM”) systems, as well as other third-party cloud and on-premise applications. Customers use our platform to create, review and publish data-linked documents, presentations, and reports with greater control, consistency, accuracy, and productivity. Our platform is flexible and scalable, so customers can easily adapt it to define, automate, and change their business processes in real time.</w:t>
      </w:r>
    </w:p>
    <w:p>
      <w:pPr>
        <w:spacing w:after="0" w:line="6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Workiva provides more than 6,300 organizations across the globe with SaaS platform solutions to help solve some of the most complex reporting and disclosure challenges. While our customers use our platform for more than 100 different use cases, across dozens of vertical industries, we organize our sales and marketing resources into three purpose-built solution groups (financial reporting, sustainability management, and GRC) focusing primarily on the office of the Chief Financial Officer (“CFO”), Chief Sustainability Officer (“CSO”), and Chief Audit Executive (“CAE”).</w:t>
      </w:r>
    </w:p>
    <w:p>
      <w:pPr>
        <w:spacing w:after="0" w:line="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operate our business on a SaaS model. Customers enter into annual and multi-year subscription contracts to gain access to our platform. Our subscription fee includes the use of our software and technical support. Our subscription pricing is based primarily on a solution-based licensing model. Under this model, operating metrics related to a customer’s expected use of each solution determine the price. We charge customers additional fees primarily for document setup and XBRL tagging services.</w:t>
      </w:r>
    </w:p>
    <w:p>
      <w:pPr>
        <w:spacing w:after="0" w:line="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generate sales primarily through our direct sales force. In addition, we augment our direct sales channel with partnerships. Our advisory and service partners offer a wider range of domain and functional expertise that broadens the capabilities of our platform, bringing scale and support to customers and prospects. Our technology partners enable more data and process integrations to help customers connect critical transactional systems directly to our platform.</w:t>
      </w:r>
    </w:p>
    <w:p>
      <w:pPr>
        <w:spacing w:after="0" w:line="7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continue to invest in the development of our solutions, infrastructure and sales and marketing to drive long-term growth. Our full-time employee headcount expanded to 2,873 at March 31, 2025 from 2,561 at March 31, 2024, an increase of 12.2%.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have achieved significant revenue growth in recent periods. Our revenue grew to $206.3 million during the three months ended March 31, 2025 from $175.7 million during the three months ended March 31, 2024. We incurred net losses of $21.4 million during the three months ended March 31, 2025 compared to $11.7 million during the three months ended March 31, 2024.</w:t>
      </w:r>
    </w:p>
    <w:p>
      <w:pPr>
        <w:spacing w:after="0" w:line="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continue to invest for future growth and are focused on several key drivers, including focusing on multi-solution adoption by new and existing customers, further developing our partner program, accelerating international expansion and our fit-for-purpose solutions. These growth drivers often require a more sophisticated go-to-market approach and, as a result, we may incur additional costs upfront to obtain new customers and expand our relationships with existing customers, including additional sales and marketing expenses.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Effects of Policy Uncertainty on Sales of Sustainability Solutions</w:t>
      </w:r>
    </w:p>
    <w:p>
      <w:pPr>
        <w:spacing w:after="0" w:line="1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Sales of our sustainability management solutions, including Workiva Carbon, could be materially impacted by domestic and global policy uncertainties. Risks relating to shifts in regulatory priorities and newly emerging trends due to changes in the U.S. presidential administration, and the outcome of other global elections, and risks relating to legal challenges to sustainability-related rules and regulations, may affect our market expansion opportunities in the U.S. and abroad. For example, amendments to the European Union’s Corporate Sustainability Reporting Directive (“CSRD”) standards used to identify and collect the information and data, with different implementation dates depending on the company size and geographic location, are still developing and uncertain. That regulatory uncertainty has limited or delayed compliance obligations or requirements, could slow market adoption and may reduce or delay the growth of our sustainability solutions. The extent of this policy uncertainty, and its potential impact on our growth trajectory, cannot be accurately predicted.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Effects of Volatility in the IPO/SPAC Markets</w:t>
      </w:r>
    </w:p>
    <w:p>
      <w:pPr>
        <w:spacing w:after="0" w:line="11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the U.S., volatility in the public markets led to a decrease in the number of initial public offerings (“IPOs”) and special-purpose acquisition companies (“SPACs”) since fiscal 2022. New sales of our SEC and capital markets solutions were adversely affected by this decline in the IPO and SPAC markets. We expect reduced valuation multiples caused by higher interest rates, inflation, global trade conflicts, and geopolitical instability to create an uncertain impact on the number of IPOs in fiscal year 2025. Whether and to what extent the IPO and SPAC markets will moderate cannot be accurately predicted.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Factors Affecting Our Performance</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Generate Growth From Existing Customers. </w:t>
      </w:r>
      <w:r>
        <w:rPr>
          <w:rFonts w:ascii="Times New Roman" w:cs="Times New Roman" w:eastAsia="Times New Roman" w:hAnsi="Times New Roman"/>
          <w:sz w:val="20"/>
          <w:szCs w:val="20"/>
          <w:color w:val="auto"/>
        </w:rPr>
        <w:t>The Workiva platform can exhibit a powerful network effect within an enterprise,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meaning that the usefulness of our platform attracts additional users. Since solution-based licensing offers our customers an unlimited number of seats for each solution purchased, we expect customers to add more seats over time. As more employees in an enterprise use our platform, additional opportunities for collaboration and automation drive demand among their colleagues for additional solutions.</w:t>
      </w:r>
    </w:p>
    <w:p>
      <w:pPr>
        <w:spacing w:after="0" w:line="76"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9"/>
          <w:szCs w:val="19"/>
          <w:i w:val="1"/>
          <w:iCs w:val="1"/>
          <w:color w:val="auto"/>
        </w:rPr>
        <w:t>Pursue New Customers</w:t>
      </w:r>
      <w:r>
        <w:rPr>
          <w:rFonts w:ascii="Times New Roman" w:cs="Times New Roman" w:eastAsia="Times New Roman" w:hAnsi="Times New Roman"/>
          <w:sz w:val="19"/>
          <w:szCs w:val="19"/>
          <w:color w:val="auto"/>
        </w:rPr>
        <w:t>. We sell to organizations that manage large, complex processes with distributed teams of contributors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disparate sets of business data. We market our platform to professionals and executives in the areas of financial and non-financial reporting, including regulatory, multi-entity and performance reporting. In addition, we market to teams responsible for sustainability management and GRC programs. We intend to continue to build our sales and marketing organization and leverage our brand equity to attract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Offer More Solutions. </w:t>
      </w:r>
      <w:r>
        <w:rPr>
          <w:rFonts w:ascii="Times New Roman" w:cs="Times New Roman" w:eastAsia="Times New Roman" w:hAnsi="Times New Roman"/>
          <w:sz w:val="20"/>
          <w:szCs w:val="20"/>
          <w:color w:val="auto"/>
        </w:rPr>
        <w:t>We intend to introduce new solutions to continue to meet growing demand for our platform. Our close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trusted relationships with our customers are a source for new use cases, features and solutions. We have a disciplined process for tracking, developing and releasing new solutions that are designed to have immediate, broad applicability; a strong value proposition; and a high return on investment for both Workiva and our customers. Our advance planning team assesses customer needs, conducts industry-based research and defines new markets. This vetting process involves our sales, product marketing, customer success, professional services, research and development, finance and senior management teams.</w:t>
      </w:r>
    </w:p>
    <w:p>
      <w:pPr>
        <w:spacing w:after="0" w:line="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Expand Across Enterprises. </w:t>
      </w:r>
      <w:r>
        <w:rPr>
          <w:rFonts w:ascii="Times New Roman" w:cs="Times New Roman" w:eastAsia="Times New Roman" w:hAnsi="Times New Roman"/>
          <w:sz w:val="20"/>
          <w:szCs w:val="20"/>
          <w:color w:val="auto"/>
        </w:rPr>
        <w:t>Our success in delivering multiple solutions has created demand from customers for a broader-based,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enterprise-wide Workiva platform. In response, we have been improving our technology and realigning sales and marketing to capitalize on our growing enterprise-wide opportunities. We believe this expansion will add seats and revenue and continue to support our high revenue retention rates. However, we expect that enterprise-wide deals will be larger and more complex, which tend to lengthen the sales cycle.</w:t>
      </w:r>
    </w:p>
    <w:p>
      <w:pPr>
        <w:spacing w:after="0" w:line="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Add Partners. </w:t>
      </w:r>
      <w:r>
        <w:rPr>
          <w:rFonts w:ascii="Times New Roman" w:cs="Times New Roman" w:eastAsia="Times New Roman" w:hAnsi="Times New Roman"/>
          <w:sz w:val="20"/>
          <w:szCs w:val="20"/>
          <w:color w:val="auto"/>
        </w:rPr>
        <w:t>We continue to expand and deepen our relationships with global and regional partners, including consulting firms,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system integrators, large and mid-sized independent software vendors, and implementation partners. Our advisory and service partners offer a wider range of domain and functional expertise that broadens our platform’s capabilities and promotes Workiva as part of the digital transformation projects they drive for their customers. Our technology partners enable powerful data and process integrations to help customers connect critical transactional systems directly to our platform, with powerful linking, auditability and control features. We believe that our partner ecosystem extends our global reach, accelerates the usage and adoption of our platform, and enables more efficient delivery of professional services.</w:t>
      </w:r>
    </w:p>
    <w:p>
      <w:pPr>
        <w:spacing w:after="0" w:line="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Investment in growth</w:t>
      </w:r>
      <w:r>
        <w:rPr>
          <w:rFonts w:ascii="Times New Roman" w:cs="Times New Roman" w:eastAsia="Times New Roman" w:hAnsi="Times New Roman"/>
          <w:sz w:val="20"/>
          <w:szCs w:val="20"/>
          <w:color w:val="auto"/>
        </w:rPr>
        <w:t>. We plan to continue to invest in the development of our platform, fit-for-purpose solutions and application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marketplace to enhance our current offerings and build new features. In addition, we expect to continue to invest in our sales, marketing, professional services and customer success organizations to drive additional revenue and support the needs of our growing customer base and to take advantage of opportunities that we have identified in Europe, the Middle East and Africa ("EMEA") and Asia-Pacific ("APAC") regions.</w:t>
      </w:r>
    </w:p>
    <w:p>
      <w:pPr>
        <w:spacing w:after="0" w:line="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Seasonality. </w:t>
      </w:r>
      <w:r>
        <w:rPr>
          <w:rFonts w:ascii="Times New Roman" w:cs="Times New Roman" w:eastAsia="Times New Roman" w:hAnsi="Times New Roman"/>
          <w:sz w:val="20"/>
          <w:szCs w:val="20"/>
          <w:color w:val="auto"/>
        </w:rPr>
        <w:t>Our revenue from professional services has some degree of seasonality. Many of our customers employ our professional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services just before they file their Form 10-K, often in the first calendar quarter. Our sales and marketing expense also has some degree of seasonality. Sales and marketing expenses have historically been higher in the third quarter due to our annual user conference in September. In addition, the timing of the payments of cash bonuses to employees during the first and fourth calendar quarters may result in some seasonality in operating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Performance Indicators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7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80" w:type="dxa"/>
            <w:vAlign w:val="bottom"/>
            <w:tcBorders>
              <w:bottom w:val="single" w:sz="8" w:color="auto"/>
            </w:tcBorders>
          </w:tcPr>
          <w:p>
            <w:pPr>
              <w:spacing w:after="0"/>
              <w:rPr>
                <w:sz w:val="20"/>
                <w:szCs w:val="20"/>
                <w:color w:val="auto"/>
              </w:rPr>
            </w:pPr>
          </w:p>
        </w:tc>
      </w:tr>
      <w:tr>
        <w:trPr>
          <w:trHeight w:val="223"/>
        </w:trPr>
        <w:tc>
          <w:tcPr>
            <w:tcW w:w="66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spacing w:after="0"/>
              <w:rPr>
                <w:sz w:val="19"/>
                <w:szCs w:val="19"/>
                <w:color w:val="auto"/>
              </w:rPr>
            </w:pPr>
          </w:p>
        </w:tc>
      </w:tr>
      <w:tr>
        <w:trPr>
          <w:trHeight w:val="263"/>
        </w:trPr>
        <w:tc>
          <w:tcPr>
            <w:tcW w:w="66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38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880" w:type="dxa"/>
            <w:vAlign w:val="bottom"/>
          </w:tcPr>
          <w:p>
            <w:pPr>
              <w:spacing w:after="0"/>
              <w:rPr>
                <w:sz w:val="22"/>
                <w:szCs w:val="22"/>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Financial metrics</w:t>
            </w:r>
          </w:p>
        </w:tc>
        <w:tc>
          <w:tcPr>
            <w:tcW w:w="1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3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206,280</w:t>
            </w:r>
          </w:p>
        </w:tc>
        <w:tc>
          <w:tcPr>
            <w:tcW w:w="120" w:type="dxa"/>
            <w:vAlign w:val="bottom"/>
          </w:tcPr>
          <w:p>
            <w:pPr>
              <w:spacing w:after="0"/>
              <w:rPr>
                <w:sz w:val="19"/>
                <w:szCs w:val="19"/>
                <w:color w:val="auto"/>
              </w:rPr>
            </w:pPr>
          </w:p>
        </w:tc>
        <w:tc>
          <w:tcPr>
            <w:tcW w:w="13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175,667</w:t>
            </w:r>
          </w:p>
        </w:tc>
      </w:tr>
      <w:tr>
        <w:trPr>
          <w:trHeight w:val="22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Percentage increase in total revenue</w:t>
            </w:r>
          </w:p>
        </w:tc>
        <w:tc>
          <w:tcPr>
            <w:tcW w:w="1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r>
      <w:tr>
        <w:trPr>
          <w:trHeight w:val="23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support revenue</w:t>
            </w:r>
          </w:p>
        </w:tc>
        <w:tc>
          <w:tcPr>
            <w:tcW w:w="13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185,512</w:t>
            </w:r>
          </w:p>
        </w:tc>
        <w:tc>
          <w:tcPr>
            <w:tcW w:w="120" w:type="dxa"/>
            <w:vAlign w:val="bottom"/>
          </w:tcPr>
          <w:p>
            <w:pPr>
              <w:spacing w:after="0"/>
              <w:rPr>
                <w:sz w:val="19"/>
                <w:szCs w:val="19"/>
                <w:color w:val="auto"/>
              </w:rPr>
            </w:pPr>
          </w:p>
        </w:tc>
        <w:tc>
          <w:tcPr>
            <w:tcW w:w="13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154,979</w:t>
            </w:r>
          </w:p>
        </w:tc>
      </w:tr>
      <w:tr>
        <w:trPr>
          <w:trHeight w:val="22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Percentage increase in subscription and support revenue</w:t>
            </w:r>
          </w:p>
        </w:tc>
        <w:tc>
          <w:tcPr>
            <w:tcW w:w="1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r>
      <w:tr>
        <w:trPr>
          <w:trHeight w:val="234"/>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and support as a percent of total revenue</w:t>
            </w:r>
          </w:p>
        </w:tc>
        <w:tc>
          <w:tcPr>
            <w:tcW w:w="1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89.9 %</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88.2 %</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As of March 31,</w:t>
            </w:r>
          </w:p>
        </w:tc>
      </w:tr>
      <w:tr>
        <w:trPr>
          <w:trHeight w:val="223"/>
        </w:trPr>
        <w:tc>
          <w:tcPr>
            <w:tcW w:w="6800" w:type="dxa"/>
            <w:vAlign w:val="bottom"/>
          </w:tcPr>
          <w:p>
            <w:pPr>
              <w:spacing w:after="0"/>
              <w:rPr>
                <w:sz w:val="19"/>
                <w:szCs w:val="19"/>
                <w:color w:val="auto"/>
              </w:rPr>
            </w:pPr>
          </w:p>
        </w:tc>
        <w:tc>
          <w:tcPr>
            <w:tcW w:w="14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9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9"/>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metrics</w:t>
            </w:r>
          </w:p>
        </w:tc>
        <w:tc>
          <w:tcPr>
            <w:tcW w:w="14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r>
      <w:tr>
        <w:trPr>
          <w:trHeight w:val="229"/>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Number of customers</w:t>
            </w:r>
          </w:p>
        </w:tc>
        <w:tc>
          <w:tcPr>
            <w:tcW w:w="14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6,385</w:t>
            </w:r>
          </w:p>
        </w:tc>
        <w:tc>
          <w:tcPr>
            <w:tcW w:w="29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8"/>
              </w:rPr>
              <w:t>6,074</w:t>
            </w:r>
          </w:p>
        </w:tc>
      </w:tr>
      <w:tr>
        <w:trPr>
          <w:trHeight w:val="23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retention rate</w:t>
            </w:r>
          </w:p>
        </w:tc>
        <w:tc>
          <w:tcPr>
            <w:tcW w:w="148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97.3%</w:t>
            </w:r>
          </w:p>
        </w:tc>
        <w:tc>
          <w:tcPr>
            <w:tcW w:w="2960" w:type="dxa"/>
            <w:vAlign w:val="bottom"/>
            <w:gridSpan w:val="3"/>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97.8%</w:t>
            </w:r>
          </w:p>
        </w:tc>
      </w:tr>
      <w:tr>
        <w:trPr>
          <w:trHeight w:val="229"/>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retention rate</w:t>
            </w:r>
          </w:p>
        </w:tc>
        <w:tc>
          <w:tcPr>
            <w:tcW w:w="14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110.1%</w:t>
            </w:r>
          </w:p>
        </w:tc>
        <w:tc>
          <w:tcPr>
            <w:tcW w:w="29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110.6%</w:t>
            </w:r>
          </w:p>
        </w:tc>
      </w:tr>
      <w:tr>
        <w:trPr>
          <w:trHeight w:val="23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Number of customers with annual contract value $100k+</w:t>
            </w:r>
          </w:p>
        </w:tc>
        <w:tc>
          <w:tcPr>
            <w:tcW w:w="148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8"/>
              </w:rPr>
              <w:t>2,079</w:t>
            </w:r>
          </w:p>
        </w:tc>
        <w:tc>
          <w:tcPr>
            <w:tcW w:w="2960" w:type="dxa"/>
            <w:vAlign w:val="bottom"/>
            <w:gridSpan w:val="3"/>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8"/>
              </w:rPr>
              <w:t>1,696</w:t>
            </w:r>
          </w:p>
        </w:tc>
      </w:tr>
      <w:tr>
        <w:trPr>
          <w:trHeight w:val="229"/>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Number of customers with annual contract value $300k+</w:t>
            </w:r>
          </w:p>
        </w:tc>
        <w:tc>
          <w:tcPr>
            <w:tcW w:w="14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439</w:t>
            </w:r>
          </w:p>
        </w:tc>
        <w:tc>
          <w:tcPr>
            <w:tcW w:w="29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332</w:t>
            </w:r>
          </w:p>
        </w:tc>
      </w:tr>
      <w:tr>
        <w:trPr>
          <w:trHeight w:val="229"/>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Number of customers with annual contract value $500k+</w:t>
            </w:r>
          </w:p>
        </w:tc>
        <w:tc>
          <w:tcPr>
            <w:tcW w:w="148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191</w:t>
            </w:r>
          </w:p>
        </w:tc>
        <w:tc>
          <w:tcPr>
            <w:tcW w:w="2960" w:type="dxa"/>
            <w:vAlign w:val="bottom"/>
            <w:gridSpan w:val="3"/>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145</w:t>
            </w:r>
          </w:p>
        </w:tc>
      </w:tr>
    </w:tbl>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Total customers</w:t>
      </w:r>
      <w:r>
        <w:rPr>
          <w:rFonts w:ascii="Times New Roman" w:cs="Times New Roman" w:eastAsia="Times New Roman" w:hAnsi="Times New Roman"/>
          <w:sz w:val="20"/>
          <w:szCs w:val="20"/>
          <w:color w:val="auto"/>
        </w:rPr>
        <w:t>. We believe total number of customers is a key indicator of our financial success and future revenue potential. We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define a customer as an entity with an active subscription contract as of the measurement date. Our customer is typically a parent company or, in a few cases, a significant subsidiary that works with us directly. Companies with publicly-listed securities account for a substantial majority of our customers. As customers acquired through our Sustain.Life acquisition in 2024 renew their contracts with Workiva, they are added to our customer count above.</w:t>
      </w:r>
    </w:p>
    <w:p>
      <w:pPr>
        <w:spacing w:after="0" w:line="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Gross retention rate. </w:t>
      </w:r>
      <w:r>
        <w:rPr>
          <w:rFonts w:ascii="Times New Roman" w:cs="Times New Roman" w:eastAsia="Times New Roman" w:hAnsi="Times New Roman"/>
          <w:sz w:val="20"/>
          <w:szCs w:val="20"/>
          <w:color w:val="auto"/>
        </w:rPr>
        <w:t>Our gross retention rate is based on subscription and support revenue. We calculate our gross retention rate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based on all customers that were active at the end of the same calendar quarter of the prior year (“base customers”). We begin by annualizing the subscription and support revenue recorded in the same calendar quarter of the prior year for those base customers who are still active at the end of the current quarter. We divide the result by the annualized subscription and support revenue in the same quarter of the prior year for all base customers. We believe gross retention rates are an important metric to track how the Company retains its base revenue for each year.</w:t>
      </w:r>
    </w:p>
    <w:p>
      <w:pPr>
        <w:spacing w:after="0" w:line="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Our gross retention rate was 97.3% as of March 31, 2025, down slightly from 97.8% as of March 31, 2024. We believe that our success in maintaining a high rate of revenue retention is attributable primarily to our robust technology platform and strong customer service. Customers whose securities were deregistered due to merger or acquisition or financial distress accounted for over half of our revenue attrition in the latest quarter.</w:t>
      </w:r>
    </w:p>
    <w:p>
      <w:pPr>
        <w:spacing w:after="0" w:line="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Net retention rate. </w:t>
      </w:r>
      <w:r>
        <w:rPr>
          <w:rFonts w:ascii="Times New Roman" w:cs="Times New Roman" w:eastAsia="Times New Roman" w:hAnsi="Times New Roman"/>
          <w:sz w:val="20"/>
          <w:szCs w:val="20"/>
          <w:color w:val="auto"/>
        </w:rPr>
        <w:t>Our net retention rate is based on subscription and support revenue, and includes revenue from up-selling or cross-selling additional solutions, and pricing changes for existing customers and securing multi-year contract renewals containing periodic pricing term increases. We calculate our net retention rate by annualizing the subscription and support revenue recorded in the current quarter for our base customers that were active at the end of the current quarter. We divide the result by the annualized subscription and support revenue in the same quarter of the prior year for all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customers. We believe our net retention rate is an important metric to measure the long-term value of customer agreements and our ability to retain our customers.</w:t>
      </w:r>
    </w:p>
    <w:p>
      <w:pPr>
        <w:spacing w:after="0" w:line="3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Our net retention rate including add-ons was 110.1% as of the quarter ended March 31, 2025, down slightly from 110.6% as of March 31, 2024.</w:t>
      </w:r>
    </w:p>
    <w:p>
      <w:pPr>
        <w:spacing w:after="0" w:line="3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Annual contract value</w:t>
      </w:r>
      <w:r>
        <w:rPr>
          <w:rFonts w:ascii="Times New Roman" w:cs="Times New Roman" w:eastAsia="Times New Roman" w:hAnsi="Times New Roman"/>
          <w:sz w:val="20"/>
          <w:szCs w:val="20"/>
          <w:color w:val="auto"/>
        </w:rPr>
        <w:t>. Our annual contract value (“ACV”) for each customer is calculated by annualizing the subscription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support revenue recognized during each quarter. We believe the increase in the number of larger contracts shows our progress in expanding our customers’ adoption of our platform. As customers acquired through our Sustain.Life acquisition in 2024 renew their contracts with Workiva, they are incorporated into our ACV metrics in the following table.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240" w:right="160"/>
        <w:spacing w:after="0" w:line="237" w:lineRule="auto"/>
        <w:rPr>
          <w:sz w:val="20"/>
          <w:szCs w:val="20"/>
          <w:color w:val="auto"/>
        </w:rPr>
      </w:pPr>
      <w:r>
        <w:rPr>
          <w:rFonts w:ascii="Times New Roman" w:cs="Times New Roman" w:eastAsia="Times New Roman" w:hAnsi="Times New Roman"/>
          <w:sz w:val="18"/>
          <w:szCs w:val="18"/>
          <w:color w:val="auto"/>
        </w:rPr>
        <w:t>Subscription and support revenue from customers with annual contract value of $100k+ as a percent of total subscription and support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40" w:right="160"/>
        <w:spacing w:after="0" w:line="237" w:lineRule="auto"/>
        <w:rPr>
          <w:sz w:val="20"/>
          <w:szCs w:val="20"/>
          <w:color w:val="auto"/>
        </w:rPr>
      </w:pPr>
      <w:r>
        <w:rPr>
          <w:rFonts w:ascii="Times New Roman" w:cs="Times New Roman" w:eastAsia="Times New Roman" w:hAnsi="Times New Roman"/>
          <w:sz w:val="18"/>
          <w:szCs w:val="18"/>
          <w:color w:val="auto"/>
        </w:rPr>
        <w:t>Subscription and support revenue from customers with annual contract value of $300k+ as a percent of total subscription and support revenue</w:t>
      </w:r>
    </w:p>
    <w:p>
      <w:pPr>
        <w:spacing w:after="0" w:line="10" w:lineRule="exact"/>
        <w:rPr>
          <w:sz w:val="20"/>
          <w:szCs w:val="20"/>
          <w:color w:val="auto"/>
        </w:rPr>
      </w:pPr>
    </w:p>
    <w:p>
      <w:pPr>
        <w:ind w:left="240" w:right="160"/>
        <w:spacing w:after="0" w:line="237" w:lineRule="auto"/>
        <w:rPr>
          <w:sz w:val="20"/>
          <w:szCs w:val="20"/>
          <w:color w:val="auto"/>
        </w:rPr>
      </w:pPr>
      <w:r>
        <w:rPr>
          <w:rFonts w:ascii="Times New Roman" w:cs="Times New Roman" w:eastAsia="Times New Roman" w:hAnsi="Times New Roman"/>
          <w:sz w:val="18"/>
          <w:szCs w:val="18"/>
          <w:color w:val="auto"/>
        </w:rPr>
        <w:t>Subscription and support revenue from customers with annual contract value of $500k+ as a percent of total subscription and support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19685</wp:posOffset>
            </wp:positionV>
            <wp:extent cx="28200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6" w:lineRule="exact"/>
        <w:rPr>
          <w:sz w:val="20"/>
          <w:szCs w:val="20"/>
          <w:color w:val="auto"/>
        </w:rPr>
      </w:pPr>
    </w:p>
    <w:p>
      <w:pPr>
        <w:ind w:left="60"/>
        <w:spacing w:after="0"/>
        <w:tabs>
          <w:tab w:leader="none" w:pos="23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121"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18"/>
          <w:szCs w:val="18"/>
          <w:color w:val="auto"/>
        </w:rPr>
        <w:t>74.1%</w:t>
      </w:r>
      <w:r>
        <w:rPr>
          <w:sz w:val="20"/>
          <w:szCs w:val="20"/>
          <w:color w:val="auto"/>
        </w:rPr>
        <w:tab/>
      </w:r>
      <w:r>
        <w:rPr>
          <w:rFonts w:ascii="Times New Roman" w:cs="Times New Roman" w:eastAsia="Times New Roman" w:hAnsi="Times New Roman"/>
          <w:sz w:val="18"/>
          <w:szCs w:val="18"/>
          <w:color w:val="auto"/>
        </w:rPr>
        <w:t>69.2%</w:t>
      </w:r>
    </w:p>
    <w:p>
      <w:pPr>
        <w:spacing w:after="0" w:line="212"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18"/>
          <w:szCs w:val="18"/>
          <w:color w:val="auto"/>
        </w:rPr>
        <w:t>38.4%</w:t>
      </w:r>
      <w:r>
        <w:rPr>
          <w:sz w:val="20"/>
          <w:szCs w:val="20"/>
          <w:color w:val="auto"/>
        </w:rPr>
        <w:tab/>
      </w:r>
      <w:r>
        <w:rPr>
          <w:rFonts w:ascii="Times New Roman" w:cs="Times New Roman" w:eastAsia="Times New Roman" w:hAnsi="Times New Roman"/>
          <w:sz w:val="18"/>
          <w:szCs w:val="18"/>
          <w:color w:val="auto"/>
        </w:rPr>
        <w:t>34.3%</w:t>
      </w:r>
    </w:p>
    <w:p>
      <w:pPr>
        <w:spacing w:after="0" w:line="212"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18"/>
          <w:szCs w:val="18"/>
          <w:color w:val="auto"/>
        </w:rPr>
        <w:t>25.9%</w:t>
      </w:r>
      <w:r>
        <w:rPr>
          <w:sz w:val="20"/>
          <w:szCs w:val="20"/>
          <w:color w:val="auto"/>
        </w:rPr>
        <w:tab/>
      </w:r>
      <w:r>
        <w:rPr>
          <w:rFonts w:ascii="Times New Roman" w:cs="Times New Roman" w:eastAsia="Times New Roman" w:hAnsi="Times New Roman"/>
          <w:sz w:val="18"/>
          <w:szCs w:val="18"/>
          <w:color w:val="auto"/>
        </w:rPr>
        <w:t>23.1%</w:t>
      </w:r>
    </w:p>
    <w:p>
      <w:pPr>
        <w:spacing w:after="0" w:line="307" w:lineRule="exact"/>
        <w:rPr>
          <w:sz w:val="20"/>
          <w:szCs w:val="20"/>
          <w:color w:val="auto"/>
        </w:rPr>
      </w:pPr>
    </w:p>
    <w:p>
      <w:pPr>
        <w:sectPr>
          <w:pgSz w:w="11900" w:h="16838" w:orient="portrait"/>
          <w:cols w:equalWidth="0" w:num="2">
            <w:col w:w="6920" w:space="720"/>
            <w:col w:w="3600"/>
          </w:cols>
          <w:pgMar w:left="320" w:top="121" w:right="33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generate revenue through the sale of subscriptions to our cloud-based software and the delivery of professional services. We serve a wide range of customers in many industries, and our revenue is not concentrated with any single customer or small group of customers. For the three months ended March 31, 2025 and 2024, no single customer represented more than 1% of our revenue, and our largest 10 customers accounted for less than 10% of our revenue in the aggregate.</w:t>
      </w:r>
    </w:p>
    <w:p>
      <w:pPr>
        <w:spacing w:after="0" w:line="7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We generate sales directly through our sales force and partners. We also identify some sales opportunities with existing customers through our customer success and professional services teams.</w:t>
      </w:r>
    </w:p>
    <w:p>
      <w:pPr>
        <w:spacing w:after="0" w:line="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Our customer contracts typically range in length from one year to three years. We typically invoice our customers for subscription fees annually in advance. For contracts with a two or three year term, customers sometimes elect to pay the entire multi-year subscription term in advance. Our arrangements do not contain general rights of return.</w:t>
      </w:r>
    </w:p>
    <w:p>
      <w:pPr>
        <w:spacing w:after="0" w:line="69"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19"/>
          <w:szCs w:val="19"/>
          <w:i w:val="1"/>
          <w:iCs w:val="1"/>
          <w:color w:val="auto"/>
        </w:rPr>
        <w:t>Subscription and Support Revenue</w:t>
      </w:r>
      <w:r>
        <w:rPr>
          <w:rFonts w:ascii="Times New Roman" w:cs="Times New Roman" w:eastAsia="Times New Roman" w:hAnsi="Times New Roman"/>
          <w:sz w:val="19"/>
          <w:szCs w:val="19"/>
          <w:color w:val="auto"/>
        </w:rPr>
        <w:t>. We recognize subscription and support revenue on a ratable basis over the contract term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beginning on the date that our service is made available to the customer. Amounts that are invoiced are initially recorded as deferred revenue.</w:t>
      </w:r>
    </w:p>
    <w:p>
      <w:pPr>
        <w:spacing w:after="0" w:line="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i w:val="1"/>
          <w:iCs w:val="1"/>
          <w:color w:val="auto"/>
        </w:rPr>
        <w:t>Professional Services Revenue</w:t>
      </w:r>
      <w:r>
        <w:rPr>
          <w:rFonts w:ascii="Times New Roman" w:cs="Times New Roman" w:eastAsia="Times New Roman" w:hAnsi="Times New Roman"/>
          <w:sz w:val="20"/>
          <w:szCs w:val="20"/>
          <w:color w:val="auto"/>
        </w:rPr>
        <w:t>. We believe our professional services facilitate the sale of our subscription service to certain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customers. To date, most of our professional services have consisted of document set up, XBRL tagging, and consulting to help our customers with business processes and best practices for using our platform. Our professional services are not required for customers to utilize our solution. We recognize revenue for document set up when the service is complete and control has transferred to the customer. Revenues from XBRL tagging and consulting services are recognized as the services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Cost of revenue consists primarily of personnel and related costs directly associated with our professional services, customer success teams and training personnel, including salaries, benefits, bonuses, travel, and stock-based compensation; the costs of contracted third-party vendors; the costs of third-party hosting fees for server usage by our customers; information technology costs; and facility costs.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 Expenses</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Sales and marketing expenses consist primarily of personnel and related costs, including salaries, benefits, bonuses, commissions, travel, and stock-based compensation. Other costs included in this expense are marketing and promotional events, our annual user conference, online marketing, product marketing, information technology costs, and facility costs. We pay sales commissions for initial contracts and expansions of existing customer contracts. When the relevant amortization period is one year or less, we expense sales commissions as incurred. All other sales commissions are considered incremental costs of obtaining a contract with a customer and are deferred and amortized on a straight-line basis over a period of benefit that we have determined to be three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Research and development expenses consist primarily of personnel and related costs, including salaries, benefits, bonuses, travel, and stock-based compensation; costs of third-party hosting fees for server usage by our developers; information technology costs; and facility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General and administrative expenses consist primarily of personnel and related costs for our executive, finance and accounting, legal, human resources, and administrative personnel, including salaries, benefits, bonuses, travel, and stock-based compensation; legal, accounting, and other professional service fees; other corporate expenses; information technology costs; and facility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sets forth selected consolidated statement of operations data for each of the periods indicated: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00" w:type="dxa"/>
            <w:vAlign w:val="bottom"/>
          </w:tcPr>
          <w:p>
            <w:pPr>
              <w:spacing w:after="0"/>
              <w:rPr>
                <w:sz w:val="20"/>
                <w:szCs w:val="20"/>
                <w:color w:val="auto"/>
              </w:rPr>
            </w:pPr>
          </w:p>
        </w:tc>
        <w:tc>
          <w:tcPr>
            <w:tcW w:w="36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80" w:type="dxa"/>
            <w:vAlign w:val="bottom"/>
            <w:tcBorders>
              <w:bottom w:val="single" w:sz="8" w:color="auto"/>
            </w:tcBorders>
          </w:tcPr>
          <w:p>
            <w:pPr>
              <w:spacing w:after="0"/>
              <w:rPr>
                <w:sz w:val="20"/>
                <w:szCs w:val="20"/>
                <w:color w:val="auto"/>
              </w:rPr>
            </w:pPr>
          </w:p>
        </w:tc>
      </w:tr>
      <w:tr>
        <w:trPr>
          <w:trHeight w:val="223"/>
        </w:trPr>
        <w:tc>
          <w:tcPr>
            <w:tcW w:w="6800" w:type="dxa"/>
            <w:vAlign w:val="bottom"/>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19"/>
                <w:szCs w:val="19"/>
                <w:color w:val="auto"/>
              </w:rPr>
            </w:pPr>
          </w:p>
        </w:tc>
      </w:tr>
      <w:tr>
        <w:trPr>
          <w:trHeight w:val="263"/>
        </w:trPr>
        <w:tc>
          <w:tcPr>
            <w:tcW w:w="68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80" w:type="dxa"/>
            <w:vAlign w:val="bottom"/>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80" w:type="dxa"/>
            <w:vAlign w:val="bottom"/>
          </w:tcPr>
          <w:p>
            <w:pPr>
              <w:spacing w:after="0"/>
              <w:rPr>
                <w:sz w:val="22"/>
                <w:szCs w:val="22"/>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3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185,512</w:t>
            </w:r>
          </w:p>
        </w:tc>
        <w:tc>
          <w:tcPr>
            <w:tcW w:w="120" w:type="dxa"/>
            <w:vAlign w:val="bottom"/>
          </w:tcPr>
          <w:p>
            <w:pPr>
              <w:spacing w:after="0"/>
              <w:rPr>
                <w:sz w:val="19"/>
                <w:szCs w:val="19"/>
                <w:color w:val="auto"/>
              </w:rPr>
            </w:pPr>
          </w:p>
        </w:tc>
        <w:tc>
          <w:tcPr>
            <w:tcW w:w="13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154,979</w:t>
            </w:r>
          </w:p>
        </w:tc>
      </w:tr>
      <w:tr>
        <w:trPr>
          <w:trHeight w:val="229"/>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1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20,768</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20,688</w:t>
            </w: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206,280</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175,667</w:t>
            </w: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8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Subscription and support</w:t>
            </w:r>
            <w:r>
              <w:rPr>
                <w:rFonts w:ascii="Times New Roman" w:cs="Times New Roman" w:eastAsia="Times New Roman" w:hAnsi="Times New Roman"/>
                <w:sz w:val="23"/>
                <w:szCs w:val="23"/>
                <w:color w:val="auto"/>
                <w:vertAlign w:val="superscript"/>
              </w:rPr>
              <w:t>(1)</w:t>
            </w:r>
          </w:p>
        </w:tc>
        <w:tc>
          <w:tcPr>
            <w:tcW w:w="1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34,062</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27,927</w:t>
            </w:r>
          </w:p>
        </w:tc>
      </w:tr>
      <w:tr>
        <w:trPr>
          <w:trHeight w:val="229"/>
        </w:trPr>
        <w:tc>
          <w:tcPr>
            <w:tcW w:w="68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Professional services</w:t>
            </w:r>
            <w:r>
              <w:rPr>
                <w:rFonts w:ascii="Times New Roman" w:cs="Times New Roman" w:eastAsia="Times New Roman" w:hAnsi="Times New Roman"/>
                <w:sz w:val="23"/>
                <w:szCs w:val="23"/>
                <w:color w:val="auto"/>
                <w:vertAlign w:val="superscript"/>
              </w:rPr>
              <w:t>(1)</w:t>
            </w:r>
          </w:p>
        </w:tc>
        <w:tc>
          <w:tcPr>
            <w:tcW w:w="1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w:t>
            </w:r>
          </w:p>
        </w:tc>
      </w:tr>
      <w:tr>
        <w:trPr>
          <w:trHeight w:val="223"/>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48,342</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41,523</w:t>
            </w: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157,938</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134,144</w:t>
            </w:r>
          </w:p>
        </w:tc>
      </w:tr>
      <w:tr>
        <w:trPr>
          <w:trHeight w:val="21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68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45,495</w:t>
            </w:r>
          </w:p>
        </w:tc>
      </w:tr>
      <w:tr>
        <w:trPr>
          <w:trHeight w:val="229"/>
        </w:trPr>
        <w:tc>
          <w:tcPr>
            <w:tcW w:w="68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1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101,671</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82,633</w:t>
            </w:r>
          </w:p>
        </w:tc>
      </w:tr>
      <w:tr>
        <w:trPr>
          <w:trHeight w:val="230"/>
        </w:trPr>
        <w:tc>
          <w:tcPr>
            <w:tcW w:w="68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1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27,237</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24,299</w:t>
            </w:r>
          </w:p>
        </w:tc>
      </w:tr>
      <w:tr>
        <w:trPr>
          <w:trHeight w:val="223"/>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182,688</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152,427</w:t>
            </w: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(18,283)</w:t>
            </w:r>
          </w:p>
        </w:tc>
      </w:tr>
      <w:tr>
        <w:trPr>
          <w:trHeight w:val="229"/>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8,747</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10,455</w:t>
            </w:r>
          </w:p>
        </w:tc>
      </w:tr>
      <w:tr>
        <w:trPr>
          <w:trHeight w:val="230"/>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r>
      <w:tr>
        <w:trPr>
          <w:trHeight w:val="230"/>
        </w:trPr>
        <w:tc>
          <w:tcPr>
            <w:tcW w:w="6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(10,974)</w:t>
            </w:r>
          </w:p>
        </w:tc>
      </w:tr>
      <w:tr>
        <w:trPr>
          <w:trHeight w:val="230"/>
        </w:trPr>
        <w:tc>
          <w:tcPr>
            <w:tcW w:w="6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tcBorders>
              <w:bottom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(11,687)</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100" w:hanging="444"/>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included in these line items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37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40" w:type="dxa"/>
            <w:vAlign w:val="bottom"/>
            <w:tcBorders>
              <w:bottom w:val="single" w:sz="8" w:color="auto"/>
            </w:tcBorders>
          </w:tcPr>
          <w:p>
            <w:pPr>
              <w:spacing w:after="0"/>
              <w:rPr>
                <w:sz w:val="20"/>
                <w:szCs w:val="20"/>
                <w:color w:val="auto"/>
              </w:rPr>
            </w:pPr>
          </w:p>
        </w:tc>
      </w:tr>
      <w:tr>
        <w:trPr>
          <w:trHeight w:val="223"/>
        </w:trPr>
        <w:tc>
          <w:tcPr>
            <w:tcW w:w="6800" w:type="dxa"/>
            <w:vAlign w:val="bottom"/>
          </w:tcPr>
          <w:p>
            <w:pPr>
              <w:spacing w:after="0"/>
              <w:rPr>
                <w:sz w:val="19"/>
                <w:szCs w:val="19"/>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19"/>
                <w:szCs w:val="19"/>
                <w:color w:val="auto"/>
              </w:rPr>
            </w:pPr>
          </w:p>
        </w:tc>
      </w:tr>
      <w:tr>
        <w:trPr>
          <w:trHeight w:val="264"/>
        </w:trPr>
        <w:tc>
          <w:tcPr>
            <w:tcW w:w="68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80" w:type="dxa"/>
            <w:vAlign w:val="bottom"/>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40" w:type="dxa"/>
            <w:vAlign w:val="bottom"/>
          </w:tcPr>
          <w:p>
            <w:pPr>
              <w:spacing w:after="0"/>
              <w:rPr>
                <w:sz w:val="22"/>
                <w:szCs w:val="22"/>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20" w:type="dxa"/>
            <w:vAlign w:val="bottom"/>
          </w:tcPr>
          <w:p>
            <w:pPr>
              <w:spacing w:after="0"/>
              <w:rPr>
                <w:sz w:val="19"/>
                <w:szCs w:val="19"/>
                <w:color w:val="auto"/>
              </w:rPr>
            </w:pP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r>
      <w:tr>
        <w:trPr>
          <w:trHeight w:val="230"/>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1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w:t>
            </w:r>
          </w:p>
        </w:tc>
      </w:tr>
      <w:tr>
        <w:trPr>
          <w:trHeight w:val="229"/>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9,751</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w:t>
            </w:r>
          </w:p>
        </w:tc>
      </w:tr>
      <w:tr>
        <w:trPr>
          <w:trHeight w:val="230"/>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8,658</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3"/>
        </w:trPr>
        <w:tc>
          <w:tcPr>
            <w:tcW w:w="6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2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27,888</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23,007</w:t>
            </w:r>
          </w:p>
        </w:tc>
      </w:tr>
      <w:tr>
        <w:trPr>
          <w:trHeight w:val="20"/>
        </w:trPr>
        <w:tc>
          <w:tcPr>
            <w:tcW w:w="68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20" w:firstLine="648"/>
        <w:spacing w:after="0" w:line="267" w:lineRule="auto"/>
        <w:rPr>
          <w:sz w:val="20"/>
          <w:szCs w:val="20"/>
          <w:color w:val="auto"/>
        </w:rPr>
      </w:pPr>
      <w:r>
        <w:rPr>
          <w:rFonts w:ascii="Times New Roman" w:cs="Times New Roman" w:eastAsia="Times New Roman" w:hAnsi="Times New Roman"/>
          <w:sz w:val="20"/>
          <w:szCs w:val="20"/>
          <w:color w:val="auto"/>
        </w:rPr>
        <w:t>The following table sets forth our consolidated statement of operations data as a percentage of revenue for each of the periods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86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80" w:type="dxa"/>
            <w:vAlign w:val="bottom"/>
            <w:tcBorders>
              <w:bottom w:val="single" w:sz="8" w:color="auto"/>
            </w:tcBorders>
          </w:tcPr>
          <w:p>
            <w:pPr>
              <w:spacing w:after="0"/>
              <w:rPr>
                <w:sz w:val="20"/>
                <w:szCs w:val="20"/>
                <w:color w:val="auto"/>
              </w:rPr>
            </w:pPr>
          </w:p>
        </w:tc>
      </w:tr>
      <w:tr>
        <w:trPr>
          <w:trHeight w:val="223"/>
        </w:trPr>
        <w:tc>
          <w:tcPr>
            <w:tcW w:w="6600" w:type="dxa"/>
            <w:vAlign w:val="bottom"/>
          </w:tcPr>
          <w:p>
            <w:pPr>
              <w:spacing w:after="0"/>
              <w:rPr>
                <w:sz w:val="19"/>
                <w:szCs w:val="19"/>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Pr>
          <w:p>
            <w:pPr>
              <w:spacing w:after="0"/>
              <w:rPr>
                <w:sz w:val="19"/>
                <w:szCs w:val="19"/>
                <w:color w:val="auto"/>
              </w:rPr>
            </w:pPr>
          </w:p>
        </w:tc>
      </w:tr>
      <w:tr>
        <w:trPr>
          <w:trHeight w:val="209"/>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r>
      <w:tr>
        <w:trPr>
          <w:trHeight w:val="229"/>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89.9 %</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88.2 %</w:t>
            </w:r>
          </w:p>
        </w:tc>
      </w:tr>
      <w:tr>
        <w:trPr>
          <w:trHeight w:val="230"/>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w:t>
            </w: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15.9</w:t>
            </w:r>
          </w:p>
        </w:tc>
      </w:tr>
      <w:tr>
        <w:trPr>
          <w:trHeight w:val="229"/>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4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23.6</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76.4</w:t>
            </w: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25.9</w:t>
            </w:r>
          </w:p>
        </w:tc>
      </w:tr>
      <w:tr>
        <w:trPr>
          <w:trHeight w:val="230"/>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47.0</w:t>
            </w:r>
          </w:p>
        </w:tc>
      </w:tr>
      <w:tr>
        <w:trPr>
          <w:trHeight w:val="229"/>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Borders>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86.7</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Three Months Ended March 31, 2025 and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460" w:type="dxa"/>
            <w:vAlign w:val="bottom"/>
            <w:tcBorders>
              <w:bottom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3"/>
        </w:trPr>
        <w:tc>
          <w:tcPr>
            <w:tcW w:w="59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9"/>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185,512</w:t>
            </w:r>
          </w:p>
        </w:tc>
        <w:tc>
          <w:tcPr>
            <w:tcW w:w="14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154,979</w:t>
            </w:r>
          </w:p>
        </w:tc>
        <w:tc>
          <w:tcPr>
            <w:tcW w:w="18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19.7%</w:t>
            </w: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20,768</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20,688</w:t>
            </w:r>
          </w:p>
        </w:tc>
        <w:tc>
          <w:tcPr>
            <w:tcW w:w="18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5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206,280</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175,667</w:t>
            </w:r>
          </w:p>
        </w:tc>
        <w:tc>
          <w:tcPr>
            <w:tcW w:w="18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17.4%</w:t>
            </w:r>
          </w:p>
        </w:tc>
      </w:tr>
      <w:tr>
        <w:trPr>
          <w:trHeight w:val="21"/>
        </w:trPr>
        <w:tc>
          <w:tcPr>
            <w:tcW w:w="5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Total revenue increased $30.6 million for the three months ended March 31, 2025 compared to the same quarter a year ago due primarily to a $30.5 million increase in subscription and support revenue. Growth in subscription and support revenue in the first quarter was attributable mainly to strong demand and continued solution expansion across our customer base. Revenue from professional services was relatively flat for the three months ended March 31, 2025 compared to the same quarter a year ago. We continue to transition consulting and other services to our partners and expect the revenue growth rate from subscription and support to continue to outpace revenue growth from professional services on an annual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460" w:type="dxa"/>
            <w:vAlign w:val="bottom"/>
            <w:tcBorders>
              <w:bottom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3"/>
        </w:trPr>
        <w:tc>
          <w:tcPr>
            <w:tcW w:w="59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34,062</w:t>
            </w:r>
          </w:p>
        </w:tc>
        <w:tc>
          <w:tcPr>
            <w:tcW w:w="14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27,927</w:t>
            </w:r>
          </w:p>
        </w:tc>
        <w:tc>
          <w:tcPr>
            <w:tcW w:w="18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22.0%</w:t>
            </w: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w:t>
            </w:r>
          </w:p>
        </w:tc>
        <w:tc>
          <w:tcPr>
            <w:tcW w:w="18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5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cost of revenue</w:t>
            </w: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48,342</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41,523</w:t>
            </w:r>
          </w:p>
        </w:tc>
        <w:tc>
          <w:tcPr>
            <w:tcW w:w="18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16.4%</w:t>
            </w:r>
          </w:p>
        </w:tc>
      </w:tr>
      <w:tr>
        <w:trPr>
          <w:trHeight w:val="20"/>
        </w:trPr>
        <w:tc>
          <w:tcPr>
            <w:tcW w:w="5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Cost of revenue increased $6.8 million during the three months ended March 31, 2025 compared to the same quarter a year ago. Subscription and support cost of revenue increased $6.1 million due primarily to $4.1 million in higher cash-based compensation and benefits costs, $0.8 million of additional stock-based compensation, and a $0.5 million increase in the cost of licensed platform content. The increase in compensation was primarily driven by an increase in employee headcount. The cost of licensed platform content increased primarily from our continued investment in and support of our platform and solutions. Amortization of acquired intangible assets for Sustain.Life was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$0.5 million</w:t>
      </w:r>
      <w:r>
        <w:rPr>
          <w:rFonts w:ascii="Arial" w:cs="Arial" w:eastAsia="Arial" w:hAnsi="Arial"/>
          <w:sz w:val="21"/>
          <w:szCs w:val="21"/>
          <w:color w:val="auto"/>
        </w:rPr>
        <w:t>.</w:t>
      </w:r>
      <w:r>
        <w:rPr>
          <w:rFonts w:ascii="Times New Roman" w:cs="Times New Roman" w:eastAsia="Times New Roman" w:hAnsi="Times New Roman"/>
          <w:sz w:val="20"/>
          <w:szCs w:val="20"/>
          <w:color w:val="auto"/>
        </w:rPr>
        <w:t xml:space="preserve">  Professional services cost of revenue increased $0.7 million due primarily to a $0.5 million increase in cash-based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compensation</w:t>
            </w:r>
          </w:p>
        </w:tc>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and</w:t>
            </w:r>
          </w:p>
        </w:tc>
        <w:tc>
          <w:tcPr>
            <w:tcW w:w="10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benefits</w:t>
            </w:r>
          </w:p>
        </w:tc>
        <w:tc>
          <w:tcPr>
            <w:tcW w:w="9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costs</w:t>
            </w:r>
          </w:p>
        </w:tc>
        <w:tc>
          <w:tcPr>
            <w:tcW w:w="11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driven</w:t>
            </w:r>
          </w:p>
        </w:tc>
        <w:tc>
          <w:tcPr>
            <w:tcW w:w="72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by</w:t>
            </w:r>
          </w:p>
        </w:tc>
        <w:tc>
          <w:tcPr>
            <w:tcW w:w="700" w:type="dxa"/>
            <w:vAlign w:val="bottom"/>
          </w:tcPr>
          <w:p>
            <w:pPr>
              <w:jc w:val="right"/>
              <w:ind w:right="147"/>
              <w:spacing w:after="0"/>
              <w:rPr>
                <w:sz w:val="20"/>
                <w:szCs w:val="20"/>
                <w:color w:val="auto"/>
              </w:rPr>
            </w:pPr>
            <w:r>
              <w:rPr>
                <w:rFonts w:ascii="Times New Roman" w:cs="Times New Roman" w:eastAsia="Times New Roman" w:hAnsi="Times New Roman"/>
                <w:sz w:val="20"/>
                <w:szCs w:val="20"/>
                <w:color w:val="auto"/>
              </w:rPr>
              <w:t>a</w:t>
            </w:r>
          </w:p>
        </w:tc>
        <w:tc>
          <w:tcPr>
            <w:tcW w:w="114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slight</w:t>
            </w:r>
          </w:p>
        </w:tc>
        <w:tc>
          <w:tcPr>
            <w:tcW w:w="1300" w:type="dxa"/>
            <w:vAlign w:val="bottom"/>
          </w:tcPr>
          <w:p>
            <w:pPr>
              <w:jc w:val="right"/>
              <w:ind w:right="309"/>
              <w:spacing w:after="0"/>
              <w:rPr>
                <w:sz w:val="20"/>
                <w:szCs w:val="20"/>
                <w:color w:val="auto"/>
              </w:rPr>
            </w:pPr>
            <w:r>
              <w:rPr>
                <w:rFonts w:ascii="Times New Roman" w:cs="Times New Roman" w:eastAsia="Times New Roman" w:hAnsi="Times New Roman"/>
                <w:sz w:val="20"/>
                <w:szCs w:val="20"/>
                <w:color w:val="auto"/>
              </w:rPr>
              <w:t>increase</w:t>
            </w:r>
          </w:p>
        </w:tc>
        <w:tc>
          <w:tcPr>
            <w:tcW w:w="120" w:type="dxa"/>
            <w:vAlign w:val="bottom"/>
          </w:tcPr>
          <w:p>
            <w:pPr>
              <w:spacing w:after="0"/>
              <w:rPr>
                <w:sz w:val="22"/>
                <w:szCs w:val="2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w:t>
            </w:r>
          </w:p>
        </w:tc>
        <w:tc>
          <w:tcPr>
            <w:tcW w:w="136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98"/>
              </w:rPr>
              <w:t>headcount.</w:t>
            </w:r>
          </w:p>
        </w:tc>
      </w:tr>
      <w:tr>
        <w:trPr>
          <w:trHeight w:val="242"/>
        </w:trPr>
        <w:tc>
          <w:tcPr>
            <w:tcW w:w="1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5"/>
          </w:tcPr>
          <w:p>
            <w:pPr>
              <w:jc w:val="right"/>
              <w:ind w:right="429"/>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r>
      <w:tr>
        <w:trPr>
          <w:trHeight w:val="223"/>
        </w:trPr>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209"/>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4"/>
        </w:trPr>
        <w:tc>
          <w:tcPr>
            <w:tcW w:w="1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2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53,780</w:t>
            </w:r>
          </w:p>
        </w:tc>
        <w:tc>
          <w:tcPr>
            <w:tcW w:w="14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center"/>
              <w:ind w:right="209"/>
              <w:spacing w:after="0"/>
              <w:rPr>
                <w:sz w:val="20"/>
                <w:szCs w:val="20"/>
                <w:color w:val="auto"/>
              </w:rPr>
            </w:pPr>
            <w:r>
              <w:rPr>
                <w:rFonts w:ascii="Times New Roman" w:cs="Times New Roman" w:eastAsia="Times New Roman" w:hAnsi="Times New Roman"/>
                <w:sz w:val="18"/>
                <w:szCs w:val="18"/>
                <w:color w:val="auto"/>
                <w:w w:val="98"/>
              </w:rPr>
              <w:t>18.2%</w:t>
            </w:r>
          </w:p>
        </w:tc>
      </w:tr>
      <w:tr>
        <w:trPr>
          <w:trHeight w:val="230"/>
        </w:trPr>
        <w:tc>
          <w:tcPr>
            <w:tcW w:w="1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8"/>
              </w:rPr>
              <w:t>Sales and marketing</w:t>
            </w: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101,671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right="209"/>
              <w:spacing w:after="0"/>
              <w:rPr>
                <w:sz w:val="20"/>
                <w:szCs w:val="20"/>
                <w:color w:val="auto"/>
              </w:rPr>
            </w:pPr>
            <w:r>
              <w:rPr>
                <w:rFonts w:ascii="Times New Roman" w:cs="Times New Roman" w:eastAsia="Times New Roman" w:hAnsi="Times New Roman"/>
                <w:sz w:val="18"/>
                <w:szCs w:val="18"/>
                <w:color w:val="auto"/>
                <w:w w:val="98"/>
              </w:rPr>
              <w:t>23.0%</w:t>
            </w:r>
          </w:p>
        </w:tc>
      </w:tr>
      <w:tr>
        <w:trPr>
          <w:trHeight w:val="230"/>
        </w:trPr>
        <w:tc>
          <w:tcPr>
            <w:tcW w:w="24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27,237</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center"/>
              <w:ind w:right="209"/>
              <w:spacing w:after="0"/>
              <w:rPr>
                <w:sz w:val="20"/>
                <w:szCs w:val="20"/>
                <w:color w:val="auto"/>
              </w:rPr>
            </w:pPr>
            <w:r>
              <w:rPr>
                <w:rFonts w:ascii="Times New Roman" w:cs="Times New Roman" w:eastAsia="Times New Roman" w:hAnsi="Times New Roman"/>
                <w:sz w:val="18"/>
                <w:szCs w:val="18"/>
                <w:color w:val="auto"/>
                <w:w w:val="98"/>
              </w:rPr>
              <w:t>12.1%</w:t>
            </w:r>
          </w:p>
        </w:tc>
      </w:tr>
      <w:tr>
        <w:trPr>
          <w:trHeight w:val="248"/>
        </w:trPr>
        <w:tc>
          <w:tcPr>
            <w:tcW w:w="24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182,688</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209"/>
              <w:spacing w:after="0"/>
              <w:rPr>
                <w:sz w:val="20"/>
                <w:szCs w:val="20"/>
                <w:color w:val="auto"/>
              </w:rPr>
            </w:pPr>
            <w:r>
              <w:rPr>
                <w:rFonts w:ascii="Times New Roman" w:cs="Times New Roman" w:eastAsia="Times New Roman" w:hAnsi="Times New Roman"/>
                <w:sz w:val="18"/>
                <w:szCs w:val="18"/>
                <w:color w:val="auto"/>
                <w:w w:val="98"/>
              </w:rPr>
              <w:t>19.9%</w:t>
            </w: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Research and Development</w:t>
      </w:r>
    </w:p>
    <w:p>
      <w:pPr>
        <w:spacing w:after="0" w:line="11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Research and development expenses increased $8.3 million during the three months ended March 31, 2025 compared to the same quarter a year ago due primarily to $5.4 million in higher cash-based compensation and benefits, $1.4 million of additional stock-based compensation, a $0.7 million increase in professional service fees, and a $0.6 million increase in internal event costs. The increase in compensation was primarily driven by an increase in employee headcount. The increase in professional service fees resulted primarily from our continued investment in and support of our platform and solutions. The increase in internal event costs relate to our annual research and development event which spanned the first quarter and second quarter of 2025 but was held in the second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Sales and Marketing</w:t>
      </w:r>
    </w:p>
    <w:p>
      <w:pPr>
        <w:spacing w:after="0" w:line="1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Sales and marketing expenses increased $19.0 million during the three months ended March 31, 2025 compared to the same quarter a year ago due primarily to $13.2 million in higher cash-based compensation and benefits, $1.7 million of additional stock-based compensation, a $0.8 million increase in travel expense, a $1.2 million increase in internal event costs, a $1.0 million increase in marketing and advertising, and a $0.6 million increase in professional service fees. During the first quarter of 2025 we recognized an additional $0.7 million in cash-based and stock-based compensation pursuant to certain severance obligations. The increases in compensation, travel, internal event costs and marketing and advertising were primarily due to an increase in employee headcount and our continued investment in our go-to-market activities. The increase in professional service fees was the result of our continued investment in and support of our platform and solutions.</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General and Administrative</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General and administrative expenses increased $2.9 million during the three months ended March 31, 2025 compared to the same quarter a year ago due primarily to a $1.4 million increase in cash-based compensation and benefits, $0.7 million of additional stock-based compensation, and a $0.3 million increase in professional service fees. The increase in stock-based compensation was primarily due to performance-based restricted stock awards and changes in the assumptions associated with the attainment of company-specific performance targets. The remaining increase in compensation was due to a modest increase in employee headcount.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Non-Operating Income (Expenses)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58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8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6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4"/>
        </w:trPr>
        <w:tc>
          <w:tcPr>
            <w:tcW w:w="59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680" w:type="dxa"/>
            <w:vAlign w:val="bottom"/>
          </w:tcPr>
          <w:p>
            <w:pPr>
              <w:spacing w:after="0"/>
              <w:rPr>
                <w:sz w:val="22"/>
                <w:szCs w:val="22"/>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(16.3)%</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is not meaningful.</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Interest Income, Interest Expense, and Other (Expense) Income, Net</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During the three months ended March 31, 2025, interest income decreased $1.7 million compared to the same quarter a year ago due primarily to a decrease in our investment balance, coupled with lower interest rates. Interest expense remained relatively flat compared to the same quarter a year ago. Other expense, net increased $0.3 million compared to the same quarter a year ago due primarily to losses on foreign currency transactions.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 for Fiscal 2024 Compared to 2023</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a comparison of our results of operations for the fiscal years ended December 31, 2024 and 2023, see "Part II, Item 7. Management's Discussion and Analysis of Financial Condition and Results of Operations" of our Annual Report on Form 10-K for the fiscal year ended December 31, 2024, filed with the SEC on February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 of Sources and Uses of Cash</w:t>
      </w:r>
    </w:p>
    <w:p>
      <w:pPr>
        <w:spacing w:after="0" w:line="11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As of March 31, 2025, our principal sources of liquidity were cash, cash equivalents and marketable securities totaling $767.0 million, which were held for working capital purposes. We have financed our operations primarily through cash generated from operations and issuances of convertible debt. We have generated significant operating losses as reflected in our accumulated deficit on our condensed consolidated balance sheets. While we expect to continue to incur operating losses and may incur negative cash flows from operations in the future, we believe that current cash and cash equivalents and cash flows from operating activities will be sufficient to fund our operations for at least the next twelve months.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Debt</w:t>
      </w:r>
    </w:p>
    <w:p>
      <w:pPr>
        <w:spacing w:after="0" w:line="11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August 2023, we issued $702.0 million aggregate principal amount of our 1.250% 2028 Notes. Proceeds from the issuance of the 2028 Notes totaled $691.1 million, net of initial purchaser discounts and issuance costs. We used $396.9 million of the net proceeds from the 2028 Notes offering to repurchase $273.8 million principal amount, together with accrued and unpaid interest thereon, of our 1.125% 2026 Notes in separate and individually negotiated transactions with certain holders. As of March 31, 2025, we had outstanding debt relating to our 2026 Notes and 2028 Notes of $70.9 million and $694.6 million, with corresponding maturity dates of August 15, 2026 and August 15, 2028,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 Plan</w:t>
      </w:r>
    </w:p>
    <w:p>
      <w:pPr>
        <w:spacing w:after="0" w:line="1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On July 30, 2024, our board of directors authorized a share repurchase plan for up to $100.0 million of our outstanding Class A common stock (the “2024 Repurchase Plan”). The repurchases may be made in the open market or through privately negotiated transactions, pursuant to Rule 10b5-1 trading plans or other available means, each in compliance with Rule 10b-18 under the Exchange Act. The timing, manner, price, and amount of the repurchase will be subject to the discretion of the Company’s management, and it may be suspended or discontinued at any time. As of March 31, 2025, we have repurchased $40.1 million of our Class A common stock under the 2024 Repurchase Plan.</w:t>
      </w:r>
    </w:p>
    <w:p>
      <w:pPr>
        <w:sectPr>
          <w:pgSz w:w="11900" w:h="16838" w:orient="portrait"/>
          <w:cols w:equalWidth="0" w:num="1">
            <w:col w:w="11240"/>
          </w:cols>
          <w:pgMar w:left="320" w:top="121" w:right="339" w:bottom="1440"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flow (used in)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flow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flow used in financing activities</w:t>
      </w:r>
    </w:p>
    <w:p>
      <w:pPr>
        <w:spacing w:after="0" w:line="23" w:lineRule="exact"/>
        <w:rPr>
          <w:sz w:val="20"/>
          <w:szCs w:val="20"/>
          <w:color w:val="auto"/>
        </w:rPr>
      </w:pPr>
    </w:p>
    <w:p>
      <w:pPr>
        <w:ind w:left="20"/>
        <w:spacing w:after="0" w:line="245" w:lineRule="auto"/>
        <w:rPr>
          <w:sz w:val="20"/>
          <w:szCs w:val="20"/>
          <w:color w:val="auto"/>
        </w:rPr>
      </w:pPr>
      <w:r>
        <w:rPr>
          <w:rFonts w:ascii="Times New Roman" w:cs="Times New Roman" w:eastAsia="Times New Roman" w:hAnsi="Times New Roman"/>
          <w:sz w:val="18"/>
          <w:szCs w:val="18"/>
          <w:color w:val="auto"/>
        </w:rPr>
        <w:t>Net (decrease) increase in cash, cash equivalents, and restricted cash, net of impact of exchange rates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9"/>
        </w:trPr>
        <w:tc>
          <w:tcPr>
            <w:tcW w:w="500" w:type="dxa"/>
            <w:vAlign w:val="bottom"/>
          </w:tcPr>
          <w:p>
            <w:pPr>
              <w:spacing w:after="0"/>
              <w:rPr>
                <w:sz w:val="22"/>
                <w:szCs w:val="22"/>
                <w:color w:val="auto"/>
              </w:rPr>
            </w:pPr>
          </w:p>
        </w:tc>
        <w:tc>
          <w:tcPr>
            <w:tcW w:w="24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60" w:type="dxa"/>
            <w:vAlign w:val="bottom"/>
          </w:tcPr>
          <w:p>
            <w:pPr>
              <w:spacing w:after="0"/>
              <w:rPr>
                <w:sz w:val="22"/>
                <w:szCs w:val="22"/>
                <w:color w:val="auto"/>
              </w:rPr>
            </w:pPr>
          </w:p>
        </w:tc>
      </w:tr>
      <w:tr>
        <w:trPr>
          <w:trHeight w:val="229"/>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120" w:type="dxa"/>
            <w:vAlign w:val="bottom"/>
          </w:tcPr>
          <w:p>
            <w:pPr>
              <w:spacing w:after="0"/>
              <w:rPr>
                <w:sz w:val="19"/>
                <w:szCs w:val="19"/>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24,844</w:t>
            </w:r>
          </w:p>
        </w:tc>
      </w:tr>
      <w:tr>
        <w:trPr>
          <w:trHeight w:val="230"/>
        </w:trPr>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17,448</w:t>
            </w:r>
          </w:p>
        </w:tc>
      </w:tr>
      <w:tr>
        <w:trPr>
          <w:trHeight w:val="234"/>
        </w:trPr>
        <w:tc>
          <w:tcPr>
            <w:tcW w:w="5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(45,012)</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(1,325)</w:t>
            </w:r>
          </w:p>
        </w:tc>
      </w:tr>
      <w:tr>
        <w:trPr>
          <w:trHeight w:val="324"/>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(59,614)</w:t>
            </w:r>
          </w:p>
        </w:tc>
        <w:tc>
          <w:tcPr>
            <w:tcW w:w="120" w:type="dxa"/>
            <w:vAlign w:val="bottom"/>
          </w:tcPr>
          <w:p>
            <w:pPr>
              <w:spacing w:after="0"/>
              <w:rPr>
                <w:sz w:val="24"/>
                <w:szCs w:val="24"/>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39,860</w:t>
            </w:r>
          </w:p>
        </w:tc>
      </w:tr>
    </w:tbl>
    <w:p>
      <w:pPr>
        <w:spacing w:after="0" w:line="270" w:lineRule="exact"/>
        <w:rPr>
          <w:sz w:val="20"/>
          <w:szCs w:val="20"/>
          <w:color w:val="auto"/>
        </w:rPr>
      </w:pPr>
    </w:p>
    <w:p>
      <w:pPr>
        <w:sectPr>
          <w:pgSz w:w="11900" w:h="16838" w:orient="portrait"/>
          <w:cols w:equalWidth="0" w:num="2">
            <w:col w:w="6200" w:space="600"/>
            <w:col w:w="4440"/>
          </w:cols>
          <w:pgMar w:left="320" w:top="121"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Our largest source of operating cash is cash collections from customers for subscription and support access to our platform. Our primary uses of cash from operating activities are for personnel-related expenditures, marketing activities, and costs of cloud infrastructure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Cash used in operating activities of $7.4 million for the three months ended March 31, 2025 consisted of a net loss of $21.4 million adjusted for non-cash charges of $29.6 million and net cash outflows of $15.6 million from changes in operating assets and liabilities. The change in operating assets and liabilities was primarily driven by a decrease in accrued expenses and other liabilities which was due in part to a reduction in accrued commissions as we experience higher bookings at year-end driving a reduction the following quarter. The decrease in deferred revenue was driven by the deduction of bookings and timing of billings in the current period. Deferred costs decreased primarily due to amortization of incremental costs associated with obtaining customer contracts. The decreases in accounts receivable and other receivables as well as the increases in accounts payable and prepaid expenses and other were attributable primarily to the timing of cash payments and collections.</w:t>
      </w:r>
    </w:p>
    <w:p>
      <w:pPr>
        <w:spacing w:after="0" w:line="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Cash provided by operating activities of $24.8 million for the three months ended March 31, 2024 consisted of a net loss of $11.7 million adjusted for non-cash charges of $22.0 million and net cash inflows of $14.6 million from changes in operating assets and liabilities. The change in operating assets and liabilities was driven by a decrease in deferred revenue which was due in part to a reduction of multi-year prepaid customer contracts and timing of contract negotiations. The decreases in accounts receivable and accrued expenses and other liabilities as well as the increases in accounts payable and prepaid expenses were attributable primarily to the timing of our billings, cash collections, and cash payments.</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Cash used in investing activities of $9.1 million for the three months ended March 31, 2025 consisted of $103.0 million in purchases of marketable securities and $0.8 million in purchases of fixed assets partially offset by $94.6 million from the maturities of marketable securities. Our capital expenditures were associated primarily with computer equipment in support of expanding our infrastructure and work force.</w:t>
      </w:r>
    </w:p>
    <w:p>
      <w:pPr>
        <w:spacing w:after="0" w:line="6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Cash provided by investing activities of $17.4 million for the three months ended March 31, 2024 consisted of $129.6 million from the maturities of marketable securities and $4.6 million from the sale of marketable securities partially offset by $116.6 million in purchases of marketable securities.</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1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Cash used in financing activities of $45.0 million for the three months ended March 31, 2025 consisted of $40.1 million in repurchases of our Class A common stock under the 2024 Repurchase Plan and $12.9 million in taxes paid related to net share settlements of stock-based compensation awards partially offset by $7.5 million in proceeds from shares issued in connection with our Employee Stock Purchase Plan ("ESPP") and $0.6 million in proceeds from option exercises.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Cash used in financing activities of $1.3 million for the three months ended March 31, 2024 consisted of $8.6 million in taxes paid</w:t>
      </w:r>
    </w:p>
    <w:p>
      <w:pPr>
        <w:spacing w:after="0" w:line="4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related to net share settlements of stock-based compensation awards partially offset by $7.1 million in proceeds from shares issued in connection with our ESPP and $0.3 million in proceeds from option exercises.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 and Commitments</w:t>
      </w:r>
    </w:p>
    <w:p>
      <w:pPr>
        <w:spacing w:after="0" w:line="11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There were no material changes in our contractual obligations and commitments from those disclosed in the Annual Report on Form 10-K for the year ended December 31, 2024 filed with the SEC on February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condensed consolidated financial statements are prepared in accordance with accounting principles generally accepted in the United States. The preparation of these condensed consolidated financial statements requires us to make estimates and assumptions that affect the reported amounts of assets, liabilities, revenue, costs and expenses, income taxes and related disclosures. On an ongoing basis, we evaluate our estimates and assumptions. Our actual results may differ from these estimates under different assumptions or conditions.</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During the three months ended March 31, 2025, there were no significant changes to our critical accounting policies and estimates as described in the financial statements contained in the Annual Report on Form 10-K for the year ended December 31, 2024 filed with the SEC on February 25, 2025.</w:t>
      </w:r>
    </w:p>
    <w:p>
      <w:pPr>
        <w:spacing w:after="0" w:line="17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11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For quantitative and qualitative disclosures about market risk, see “Item 7A., Quantitative and Qualitative Disclosures About Market Risk” of our Annual Report on Form 10-K for the year ended December 31, 2024. Our exposures to market risk have not changed materially since December 31, 2024.</w:t>
      </w:r>
    </w:p>
    <w:p>
      <w:pPr>
        <w:spacing w:after="0" w:line="15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Our management, with the participation of our principal executive officer and principal financial officer, has evaluated the effectiveness of the design and operation of our disclosure controls and procedures (as defined in Rules 13a-15(e) and 15d-15(e) under the Securities Exchange Act of 1934, as amended, or the Exchange Act), as of the end of the period covered by this Quarterly Report on Form 10-Q.</w:t>
      </w:r>
    </w:p>
    <w:p>
      <w:pPr>
        <w:spacing w:after="0" w:line="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Based on such evaluation, our principal executive officer and principal financial officer have concluded that as of such date, our disclosure controls and procedures are designed to, and are effective to, provide assurance at a reasonable level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Limitations on the Effectiveness of Controls and Procedures</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21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From time to time we may become involved in legal proceedings or be subject to claims arising in the ordinary course of our business. We are not presently a party to any legal proceedings that in the opinion of our management, if determined adversely to us, would have a material adverse effect on our business, financial condition, operating results or cash flows. Regardless of the outcome, litigation can have an adverse impact on us because of defense and settlement costs, diversion of management resources and other factors.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addition to the other information set forth in this report, you should carefully consider the factors discussed in Part I, “Item 1A.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Risk Factors” in our 2024 Annual Report on Form 10-K, which could materially affect our business, financial condition or future results.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have been no material changes during fiscal year 2025 to the risk factors that were included in the Form 10-K.</w:t>
      </w:r>
    </w:p>
    <w:p>
      <w:pPr>
        <w:spacing w:after="0" w:line="21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Unregistered Sales of Securities and Use of Proceeds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of Unregistered Securities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11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On July 30, 2024, our board of directors authorized a share repurchase plan for up to $100.0 million of our outstanding Class A common stock.</w:t>
      </w:r>
    </w:p>
    <w:p>
      <w:pPr>
        <w:spacing w:after="0" w:line="38"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following table summarizes the share repurchase activity for the three months ended March 31, 2025 (in thousands, except share and per share data):</w:t>
      </w:r>
    </w:p>
    <w:p>
      <w:pPr>
        <w:sectPr>
          <w:pgSz w:w="11900" w:h="16838" w:orient="portrait"/>
          <w:cols w:equalWidth="0" w:num="1">
            <w:col w:w="11240"/>
          </w:cols>
          <w:pgMar w:left="320" w:top="121" w:right="339" w:bottom="1440" w:gutter="0" w:footer="0" w:header="0"/>
        </w:sect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 Price</w:t>
            </w:r>
          </w:p>
        </w:tc>
      </w:tr>
      <w:tr>
        <w:trPr>
          <w:trHeight w:val="243"/>
        </w:trPr>
        <w:tc>
          <w:tcPr>
            <w:tcW w:w="402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Paid per Share</w:t>
            </w:r>
          </w:p>
        </w:tc>
      </w:tr>
      <w:tr>
        <w:trPr>
          <w:trHeight w:val="238"/>
        </w:trPr>
        <w:tc>
          <w:tcPr>
            <w:tcW w:w="4020" w:type="dxa"/>
            <w:vAlign w:val="bottom"/>
          </w:tcPr>
          <w:p>
            <w:pPr>
              <w:spacing w:after="0"/>
              <w:rPr>
                <w:sz w:val="20"/>
                <w:szCs w:val="20"/>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22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January 1, 2025 to January 31, 2025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2025 to February 28, 2025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w:t>
            </w: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March 1, 2025 to March 31, 2025</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w:t>
            </w:r>
          </w:p>
        </w:tc>
      </w:tr>
      <w:tr>
        <w:trPr>
          <w:trHeight w:val="223"/>
        </w:trPr>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461,551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189"/>
        </w:trPr>
        <w:tc>
          <w:tcPr>
            <w:tcW w:w="1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100" w:type="dxa"/>
            <w:vAlign w:val="bottom"/>
          </w:tcPr>
          <w:p>
            <w:pPr>
              <w:spacing w:after="0"/>
              <w:rPr>
                <w:sz w:val="15"/>
                <w:szCs w:val="15"/>
                <w:color w:val="auto"/>
              </w:rPr>
            </w:pPr>
          </w:p>
        </w:tc>
        <w:tc>
          <w:tcPr>
            <w:tcW w:w="18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Value that May Yet Be</w:t>
            </w:r>
          </w:p>
        </w:tc>
        <w:tc>
          <w:tcPr>
            <w:tcW w:w="0" w:type="dxa"/>
            <w:vAlign w:val="bottom"/>
          </w:tcPr>
          <w:p>
            <w:pPr>
              <w:spacing w:after="0"/>
              <w:rPr>
                <w:sz w:val="1"/>
                <w:szCs w:val="1"/>
                <w:color w:val="auto"/>
              </w:rPr>
            </w:pPr>
          </w:p>
        </w:tc>
      </w:tr>
      <w:tr>
        <w:trPr>
          <w:trHeight w:val="175"/>
        </w:trPr>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100" w:type="dxa"/>
            <w:vAlign w:val="bottom"/>
          </w:tcPr>
          <w:p>
            <w:pPr>
              <w:spacing w:after="0"/>
              <w:rPr>
                <w:sz w:val="15"/>
                <w:szCs w:val="15"/>
                <w:color w:val="auto"/>
              </w:rPr>
            </w:pPr>
          </w:p>
        </w:tc>
        <w:tc>
          <w:tcPr>
            <w:tcW w:w="18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243"/>
        </w:trPr>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18"/>
        </w:trPr>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29"/>
        </w:trPr>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97,183</w:t>
            </w:r>
          </w:p>
        </w:tc>
        <w:tc>
          <w:tcPr>
            <w:tcW w:w="0" w:type="dxa"/>
            <w:vAlign w:val="bottom"/>
          </w:tcPr>
          <w:p>
            <w:pPr>
              <w:spacing w:after="0"/>
              <w:rPr>
                <w:sz w:val="1"/>
                <w:szCs w:val="1"/>
                <w:color w:val="auto"/>
              </w:rPr>
            </w:pPr>
          </w:p>
        </w:tc>
      </w:tr>
      <w:tr>
        <w:trPr>
          <w:trHeight w:val="234"/>
        </w:trPr>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59,891</w:t>
            </w:r>
          </w:p>
        </w:tc>
        <w:tc>
          <w:tcPr>
            <w:tcW w:w="0" w:type="dxa"/>
            <w:vAlign w:val="bottom"/>
          </w:tcPr>
          <w:p>
            <w:pPr>
              <w:spacing w:after="0"/>
              <w:rPr>
                <w:sz w:val="1"/>
                <w:szCs w:val="1"/>
                <w:color w:val="auto"/>
              </w:rPr>
            </w:pPr>
          </w:p>
        </w:tc>
      </w:tr>
      <w:tr>
        <w:trPr>
          <w:trHeight w:val="223"/>
        </w:trPr>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461,551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320" w:space="100"/>
            <w:col w:w="3820"/>
          </w:cols>
          <w:pgMar w:left="320" w:top="121" w:right="339" w:bottom="1440" w:gutter="0" w:footer="0" w:header="0"/>
          <w:type w:val="continuous"/>
        </w:sectPr>
      </w:pPr>
    </w:p>
    <w:p>
      <w:pPr>
        <w:spacing w:after="0" w:line="31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and Officer Trading Arrangements</w:t>
      </w:r>
    </w:p>
    <w:p>
      <w:pPr>
        <w:spacing w:after="0" w:line="11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During the three months ended March 31, 2025,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Item 6.</w:t>
            </w:r>
          </w:p>
        </w:tc>
        <w:tc>
          <w:tcPr>
            <w:tcW w:w="10380" w:type="dxa"/>
            <w:vAlign w:val="bottom"/>
            <w:gridSpan w:val="8"/>
          </w:tcPr>
          <w:p>
            <w:pPr>
              <w:ind w:left="60"/>
              <w:spacing w:after="0"/>
              <w:rPr>
                <w:sz w:val="20"/>
                <w:szCs w:val="20"/>
                <w:color w:val="auto"/>
              </w:rPr>
            </w:pPr>
            <w:r>
              <w:rPr>
                <w:rFonts w:ascii="Times New Roman" w:cs="Times New Roman" w:eastAsia="Times New Roman" w:hAnsi="Times New Roman"/>
                <w:sz w:val="20"/>
                <w:szCs w:val="20"/>
                <w:b w:val="1"/>
                <w:bCs w:val="1"/>
                <w:color w:val="auto"/>
              </w:rPr>
              <w:t>Exhibits</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1100" w:type="dxa"/>
            <w:vAlign w:val="bottom"/>
            <w:gridSpan w:val="10"/>
          </w:tcPr>
          <w:p>
            <w:pPr>
              <w:ind w:left="640"/>
              <w:spacing w:after="0"/>
              <w:rPr>
                <w:sz w:val="20"/>
                <w:szCs w:val="20"/>
                <w:color w:val="auto"/>
              </w:rPr>
            </w:pPr>
            <w:r>
              <w:rPr>
                <w:rFonts w:ascii="Times New Roman" w:cs="Times New Roman" w:eastAsia="Times New Roman" w:hAnsi="Times New Roman"/>
                <w:sz w:val="20"/>
                <w:szCs w:val="20"/>
                <w:color w:val="auto"/>
              </w:rPr>
              <w:t>The following exhibits are being filed herewith or incorporated by reference herein: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220" w:type="dxa"/>
            <w:vAlign w:val="bottom"/>
          </w:tcPr>
          <w:p>
            <w:pPr>
              <w:spacing w:after="0"/>
              <w:rPr>
                <w:sz w:val="16"/>
                <w:szCs w:val="16"/>
                <w:color w:val="auto"/>
              </w:rPr>
            </w:pPr>
          </w:p>
        </w:tc>
        <w:tc>
          <w:tcPr>
            <w:tcW w:w="916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Number</w:t>
            </w:r>
          </w:p>
        </w:tc>
        <w:tc>
          <w:tcPr>
            <w:tcW w:w="1220" w:type="dxa"/>
            <w:vAlign w:val="bottom"/>
          </w:tcPr>
          <w:p>
            <w:pPr>
              <w:spacing w:after="0"/>
              <w:rPr>
                <w:sz w:val="17"/>
                <w:szCs w:val="17"/>
                <w:color w:val="auto"/>
              </w:rPr>
            </w:pPr>
          </w:p>
        </w:tc>
        <w:tc>
          <w:tcPr>
            <w:tcW w:w="916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Rule 13a-14(a)/15d-14(a), as adopted pursuant to Section 302 of the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980" w:type="dxa"/>
            <w:vAlign w:val="bottom"/>
            <w:tcBorders>
              <w:top w:val="single" w:sz="8" w:color="0000FF"/>
            </w:tcBorders>
            <w:gridSpan w:val="6"/>
          </w:tcPr>
          <w:p>
            <w:pPr>
              <w:ind w:left="20"/>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1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 13a-14(a)/15d-14(a), as adopted pursuant to Section 302 of the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940" w:type="dxa"/>
            <w:vAlign w:val="bottom"/>
            <w:tcBorders>
              <w:top w:val="single" w:sz="8" w:color="0000FF"/>
            </w:tcBorders>
            <w:gridSpan w:val="5"/>
          </w:tcPr>
          <w:p>
            <w:pPr>
              <w:ind w:left="20"/>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1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18 U.S.C. Section 1350, as adopted pursuant to Section 906 of the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40" w:type="dxa"/>
            <w:vAlign w:val="bottom"/>
            <w:tcBorders>
              <w:top w:val="single" w:sz="8" w:color="0000FF"/>
            </w:tcBorders>
            <w:gridSpan w:val="4"/>
          </w:tcPr>
          <w:p>
            <w:pPr>
              <w:ind w:left="20"/>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3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1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18 U.S.C. Section 1350, as adopted pursuant to Section 906 of the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0" w:type="dxa"/>
            <w:vAlign w:val="bottom"/>
            <w:tcBorders>
              <w:top w:val="single" w:sz="8" w:color="0000FF"/>
            </w:tcBorders>
            <w:gridSpan w:val="3"/>
          </w:tcPr>
          <w:p>
            <w:pPr>
              <w:ind w:left="20"/>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3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1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w w:val="99"/>
              </w:rPr>
              <w:t>The following financial information from Workiva Inc.'s Quarterly Report on Form 10-Q for the quarter ended March 31, 2025</w:t>
            </w:r>
          </w:p>
        </w:tc>
        <w:tc>
          <w:tcPr>
            <w:tcW w:w="0" w:type="dxa"/>
            <w:vAlign w:val="bottom"/>
          </w:tcPr>
          <w:p>
            <w:pPr>
              <w:spacing w:after="0"/>
              <w:rPr>
                <w:sz w:val="1"/>
                <w:szCs w:val="1"/>
                <w:color w:val="auto"/>
              </w:rPr>
            </w:pPr>
          </w:p>
        </w:tc>
      </w:tr>
    </w:tbl>
    <w:p>
      <w:pPr>
        <w:jc w:val="right"/>
        <w:spacing w:after="0" w:line="203" w:lineRule="auto"/>
        <w:rPr>
          <w:sz w:val="20"/>
          <w:szCs w:val="20"/>
          <w:color w:val="auto"/>
        </w:rPr>
      </w:pPr>
      <w:r>
        <w:rPr>
          <w:rFonts w:ascii="Times New Roman" w:cs="Times New Roman" w:eastAsia="Times New Roman" w:hAnsi="Times New Roman"/>
          <w:sz w:val="18"/>
          <w:szCs w:val="18"/>
          <w:color w:val="auto"/>
        </w:rPr>
        <w:t>formatted in Inline XBRL (Extensible Business Reporting Language) includes: (i) the Condensed Consolidated Balance Sheets,</w:t>
      </w:r>
    </w:p>
    <w:p>
      <w:pPr>
        <w:ind w:left="1980" w:hanging="10"/>
        <w:spacing w:after="0" w:line="223" w:lineRule="auto"/>
        <w:tabs>
          <w:tab w:leader="none" w:pos="22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Statements of Operations, (iii) the Condensed Consolidated Statements of Comprehensive Loss, (iv) the Consolidated Statements of Changes in Stockholders Deficit, (v) the Condensed Consolidated Statements of Cash Flows, and (vi) Notes to the Condensed Consolidated Financial Statements.</w:t>
      </w:r>
    </w:p>
    <w:p>
      <w:pPr>
        <w:spacing w:after="0" w:line="51" w:lineRule="exact"/>
        <w:rPr>
          <w:sz w:val="20"/>
          <w:szCs w:val="20"/>
          <w:color w:val="auto"/>
        </w:rPr>
      </w:pPr>
    </w:p>
    <w:p>
      <w:pPr>
        <w:ind w:left="20"/>
        <w:spacing w:after="0"/>
        <w:tabs>
          <w:tab w:leader="none" w:pos="1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0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 on this 1st day of May, 2025.</w:t>
      </w:r>
    </w:p>
    <w:p>
      <w:pPr>
        <w:spacing w:after="0" w:line="8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0"/>
          <w:szCs w:val="20"/>
          <w:b w:val="1"/>
          <w:bCs w:val="1"/>
          <w:color w:val="auto"/>
        </w:rPr>
        <w:t>WORKIVA INC.</w:t>
      </w:r>
    </w:p>
    <w:p>
      <w:pPr>
        <w:spacing w:after="0" w:line="76" w:lineRule="exact"/>
        <w:rPr>
          <w:sz w:val="20"/>
          <w:szCs w:val="20"/>
          <w:color w:val="auto"/>
        </w:rPr>
      </w:pPr>
    </w:p>
    <w:tbl>
      <w:tblPr>
        <w:tblLayout w:type="fixed"/>
        <w:tblInd w:w="678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Julie Iskow</w:t>
            </w:r>
          </w:p>
        </w:tc>
        <w:tc>
          <w:tcPr>
            <w:tcW w:w="1960" w:type="dxa"/>
            <w:vAlign w:val="bottom"/>
          </w:tcPr>
          <w:p>
            <w:pPr>
              <w:spacing w:after="0"/>
              <w:rPr>
                <w:sz w:val="17"/>
                <w:szCs w:val="17"/>
                <w:color w:val="auto"/>
              </w:rPr>
            </w:pPr>
          </w:p>
        </w:tc>
      </w:tr>
      <w:tr>
        <w:trPr>
          <w:trHeight w:val="241"/>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Julie Iskow</w:t>
            </w: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59"/>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Jill Klindt</w:t>
            </w:r>
          </w:p>
        </w:tc>
        <w:tc>
          <w:tcPr>
            <w:tcW w:w="2060" w:type="dxa"/>
            <w:vAlign w:val="bottom"/>
            <w:gridSpan w:val="2"/>
          </w:tcPr>
          <w:p>
            <w:pPr>
              <w:spacing w:after="0"/>
              <w:rPr>
                <w:sz w:val="24"/>
                <w:szCs w:val="24"/>
                <w:color w:val="auto"/>
              </w:rPr>
            </w:pPr>
          </w:p>
        </w:tc>
      </w:tr>
      <w:tr>
        <w:trPr>
          <w:trHeight w:val="241"/>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Jill Klindt</w:t>
            </w:r>
          </w:p>
        </w:tc>
      </w:tr>
      <w:tr>
        <w:trPr>
          <w:trHeight w:val="184"/>
        </w:trPr>
        <w:tc>
          <w:tcPr>
            <w:tcW w:w="88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300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w w:val="98"/>
              </w:rPr>
              <w:t>Executive Vice President, Chief Financial</w:t>
            </w:r>
          </w:p>
        </w:tc>
      </w:tr>
      <w:tr>
        <w:trPr>
          <w:trHeight w:val="234"/>
        </w:trPr>
        <w:tc>
          <w:tcPr>
            <w:tcW w:w="880" w:type="dxa"/>
            <w:vAlign w:val="bottom"/>
          </w:tcPr>
          <w:p>
            <w:pPr>
              <w:spacing w:after="0"/>
              <w:rPr>
                <w:sz w:val="20"/>
                <w:szCs w:val="20"/>
                <w:color w:val="auto"/>
              </w:rPr>
            </w:pPr>
          </w:p>
        </w:tc>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40"/>
          </w:cols>
          <w:pgMar w:left="320" w:top="121" w:right="339" w:bottom="1440" w:gutter="0" w:footer="0" w:header="0"/>
        </w:sectPr>
      </w:pPr>
    </w:p>
    <w:bookmarkStart w:id="39" w:name="page40"/>
    <w:bookmarkEnd w:id="3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Julie Iskow, certify that:</w:t>
      </w:r>
    </w:p>
    <w:p>
      <w:pPr>
        <w:spacing w:after="0" w:line="104"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Workiva Inc.;</w:t>
      </w:r>
    </w:p>
    <w:p>
      <w:pPr>
        <w:spacing w:after="0" w:line="252" w:lineRule="exact"/>
        <w:rPr>
          <w:rFonts w:ascii="Times New Roman" w:cs="Times New Roman" w:eastAsia="Times New Roman" w:hAnsi="Times New Roman"/>
          <w:sz w:val="18"/>
          <w:szCs w:val="18"/>
          <w:color w:val="auto"/>
        </w:rPr>
      </w:pPr>
    </w:p>
    <w:p>
      <w:pPr>
        <w:ind w:right="240" w:firstLine="8"/>
        <w:spacing w:after="0" w:line="282"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340" w:firstLine="8"/>
        <w:spacing w:after="0" w:line="282"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60" w:firstLine="8"/>
        <w:spacing w:after="0" w:line="250" w:lineRule="auto"/>
        <w:tabs>
          <w:tab w:leader="none" w:pos="3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660" w:hanging="4"/>
        <w:spacing w:after="0" w:line="266" w:lineRule="auto"/>
        <w:tabs>
          <w:tab w:leader="none" w:pos="101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left="66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Times New Roman" w:cs="Times New Roman" w:eastAsia="Times New Roman" w:hAnsi="Times New Roman"/>
          <w:sz w:val="18"/>
          <w:szCs w:val="18"/>
          <w:color w:val="auto"/>
        </w:rPr>
      </w:pPr>
    </w:p>
    <w:p>
      <w:pPr>
        <w:ind w:left="660" w:right="540" w:hanging="4"/>
        <w:spacing w:after="0" w:line="282" w:lineRule="auto"/>
        <w:tabs>
          <w:tab w:leader="none" w:pos="101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right="20" w:hanging="4"/>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right="300" w:firstLine="8"/>
        <w:spacing w:after="0" w:line="282" w:lineRule="auto"/>
        <w:tabs>
          <w:tab w:leader="none" w:pos="3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740" w:hanging="4"/>
        <w:spacing w:after="0" w:line="282"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440" w:hanging="4"/>
        <w:spacing w:after="0" w:line="282" w:lineRule="auto"/>
        <w:tabs>
          <w:tab w:leader="none" w:pos="101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May 1, 2025</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Julie Iskow</w:t>
            </w:r>
          </w:p>
        </w:tc>
      </w:tr>
      <w:tr>
        <w:trPr>
          <w:trHeight w:val="142"/>
        </w:trPr>
        <w:tc>
          <w:tcPr>
            <w:tcW w:w="4840" w:type="dxa"/>
            <w:vAlign w:val="bottom"/>
          </w:tcPr>
          <w:p>
            <w:pPr>
              <w:spacing w:after="0"/>
              <w:rPr>
                <w:sz w:val="12"/>
                <w:szCs w:val="12"/>
                <w:color w:val="auto"/>
              </w:rPr>
            </w:pPr>
          </w:p>
        </w:tc>
        <w:tc>
          <w:tcPr>
            <w:tcW w:w="10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Julie Iskow</w:t>
            </w:r>
          </w:p>
        </w:tc>
        <w:tc>
          <w:tcPr>
            <w:tcW w:w="1700" w:type="dxa"/>
            <w:vAlign w:val="bottom"/>
          </w:tcPr>
          <w:p>
            <w:pPr>
              <w:spacing w:after="0"/>
              <w:rPr>
                <w:sz w:val="12"/>
                <w:szCs w:val="12"/>
                <w:color w:val="auto"/>
              </w:rPr>
            </w:pPr>
          </w:p>
        </w:tc>
      </w:tr>
      <w:tr>
        <w:trPr>
          <w:trHeight w:val="204"/>
        </w:trPr>
        <w:tc>
          <w:tcPr>
            <w:tcW w:w="4840" w:type="dxa"/>
            <w:vAlign w:val="bottom"/>
          </w:tcPr>
          <w:p>
            <w:pPr>
              <w:spacing w:after="0"/>
              <w:rPr>
                <w:sz w:val="17"/>
                <w:szCs w:val="17"/>
                <w:color w:val="auto"/>
              </w:rPr>
            </w:pPr>
          </w:p>
        </w:tc>
        <w:tc>
          <w:tcPr>
            <w:tcW w:w="274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w w:val="98"/>
              </w:rPr>
              <w:t>President and Chief Executive Officer</w:t>
            </w:r>
          </w:p>
        </w:tc>
      </w:tr>
    </w:tbl>
    <w:p>
      <w:pPr>
        <w:ind w:left="49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20"/>
          </w:cols>
          <w:pgMar w:left="320" w:top="860" w:right="359"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Jill Klindt, certify that:</w:t>
      </w:r>
    </w:p>
    <w:p>
      <w:pPr>
        <w:spacing w:after="0" w:line="104"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Workiva Inc.;</w:t>
      </w:r>
    </w:p>
    <w:p>
      <w:pPr>
        <w:spacing w:after="0" w:line="252" w:lineRule="exact"/>
        <w:rPr>
          <w:rFonts w:ascii="Times New Roman" w:cs="Times New Roman" w:eastAsia="Times New Roman" w:hAnsi="Times New Roman"/>
          <w:sz w:val="18"/>
          <w:szCs w:val="18"/>
          <w:color w:val="auto"/>
        </w:rPr>
      </w:pPr>
    </w:p>
    <w:p>
      <w:pPr>
        <w:ind w:right="240" w:firstLine="8"/>
        <w:spacing w:after="0" w:line="282" w:lineRule="auto"/>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340" w:firstLine="8"/>
        <w:spacing w:after="0" w:line="282" w:lineRule="auto"/>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60" w:firstLine="8"/>
        <w:spacing w:after="0" w:line="250" w:lineRule="auto"/>
        <w:tabs>
          <w:tab w:leader="none" w:pos="3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660" w:hanging="4"/>
        <w:spacing w:after="0" w:line="266" w:lineRule="auto"/>
        <w:tabs>
          <w:tab w:leader="none" w:pos="101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left="66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Times New Roman" w:cs="Times New Roman" w:eastAsia="Times New Roman" w:hAnsi="Times New Roman"/>
          <w:sz w:val="18"/>
          <w:szCs w:val="18"/>
          <w:color w:val="auto"/>
        </w:rPr>
      </w:pPr>
    </w:p>
    <w:p>
      <w:pPr>
        <w:ind w:left="660" w:right="540" w:hanging="4"/>
        <w:spacing w:after="0" w:line="282" w:lineRule="auto"/>
        <w:tabs>
          <w:tab w:leader="none" w:pos="101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right="20" w:hanging="4"/>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right="300" w:firstLine="8"/>
        <w:spacing w:after="0" w:line="282" w:lineRule="auto"/>
        <w:tabs>
          <w:tab w:leader="none" w:pos="3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740" w:hanging="4"/>
        <w:spacing w:after="0" w:line="282" w:lineRule="auto"/>
        <w:tabs>
          <w:tab w:leader="none" w:pos="10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440" w:hanging="4"/>
        <w:spacing w:after="0" w:line="282" w:lineRule="auto"/>
        <w:tabs>
          <w:tab w:leader="none" w:pos="101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May 1, 2025</w:t>
            </w: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Jill Klindt</w:t>
            </w:r>
          </w:p>
        </w:tc>
      </w:tr>
      <w:tr>
        <w:trPr>
          <w:trHeight w:val="142"/>
        </w:trPr>
        <w:tc>
          <w:tcPr>
            <w:tcW w:w="4600" w:type="dxa"/>
            <w:vAlign w:val="bottom"/>
          </w:tcPr>
          <w:p>
            <w:pPr>
              <w:spacing w:after="0"/>
              <w:rPr>
                <w:sz w:val="12"/>
                <w:szCs w:val="12"/>
                <w:color w:val="auto"/>
              </w:rPr>
            </w:pPr>
          </w:p>
        </w:tc>
        <w:tc>
          <w:tcPr>
            <w:tcW w:w="9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Jill Klindt</w:t>
            </w:r>
          </w:p>
        </w:tc>
        <w:tc>
          <w:tcPr>
            <w:tcW w:w="3660" w:type="dxa"/>
            <w:vAlign w:val="bottom"/>
          </w:tcPr>
          <w:p>
            <w:pPr>
              <w:spacing w:after="0"/>
              <w:rPr>
                <w:sz w:val="12"/>
                <w:szCs w:val="12"/>
                <w:color w:val="auto"/>
              </w:rPr>
            </w:pPr>
          </w:p>
        </w:tc>
      </w:tr>
      <w:tr>
        <w:trPr>
          <w:trHeight w:val="204"/>
        </w:trPr>
        <w:tc>
          <w:tcPr>
            <w:tcW w:w="4600" w:type="dxa"/>
            <w:vAlign w:val="bottom"/>
          </w:tcPr>
          <w:p>
            <w:pPr>
              <w:spacing w:after="0"/>
              <w:rPr>
                <w:sz w:val="17"/>
                <w:szCs w:val="17"/>
                <w:color w:val="auto"/>
              </w:rPr>
            </w:pPr>
          </w:p>
        </w:tc>
        <w:tc>
          <w:tcPr>
            <w:tcW w:w="46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w w:val="98"/>
              </w:rPr>
              <w:t>Executive Vice President, Chief Financial Officer and Treasurer</w:t>
            </w:r>
          </w:p>
        </w:tc>
      </w:tr>
    </w:tbl>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20"/>
          </w:cols>
          <w:pgMar w:left="320" w:top="860" w:right="359" w:bottom="1440" w:gutter="0" w:footer="0" w:header="0"/>
        </w:sectPr>
      </w:pPr>
    </w:p>
    <w:bookmarkStart w:id="41" w:name="page42"/>
    <w:bookmarkEnd w:id="41"/>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UNDER SECTION 906 OF THE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0" w:lineRule="exact"/>
        <w:rPr>
          <w:sz w:val="20"/>
          <w:szCs w:val="20"/>
          <w:color w:val="auto"/>
        </w:rPr>
      </w:pPr>
    </w:p>
    <w:p>
      <w:pPr>
        <w:spacing w:after="0" w:line="272"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I, Julie Iskow, President and Chief Executive Officer of Workiva Inc. (the “Company”), do hereby certify, pursuant to 18 U.S.C. Section 1350, as adopted pursuant to Section 906 of the Sarbanes-Oxley Act of 2002, that to the best of my knowledge:</w:t>
      </w:r>
    </w:p>
    <w:p>
      <w:pPr>
        <w:spacing w:after="0" w:line="189" w:lineRule="exact"/>
        <w:rPr>
          <w:sz w:val="20"/>
          <w:szCs w:val="20"/>
          <w:color w:val="auto"/>
        </w:rPr>
      </w:pPr>
    </w:p>
    <w:p>
      <w:pPr>
        <w:ind w:left="660" w:right="20" w:hanging="328"/>
        <w:spacing w:after="0" w:line="329"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March 31, 2025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hanging="328"/>
        <w:spacing w:after="0" w:line="34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May 1, 2025</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Julie Iskow</w:t>
            </w:r>
          </w:p>
        </w:tc>
      </w:tr>
      <w:tr>
        <w:trPr>
          <w:trHeight w:val="142"/>
        </w:trPr>
        <w:tc>
          <w:tcPr>
            <w:tcW w:w="4860" w:type="dxa"/>
            <w:vAlign w:val="bottom"/>
          </w:tcPr>
          <w:p>
            <w:pPr>
              <w:spacing w:after="0"/>
              <w:rPr>
                <w:sz w:val="12"/>
                <w:szCs w:val="12"/>
                <w:color w:val="auto"/>
              </w:rPr>
            </w:pPr>
          </w:p>
        </w:tc>
        <w:tc>
          <w:tcPr>
            <w:tcW w:w="10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Julie Iskow</w:t>
            </w:r>
          </w:p>
        </w:tc>
        <w:tc>
          <w:tcPr>
            <w:tcW w:w="1700" w:type="dxa"/>
            <w:vAlign w:val="bottom"/>
          </w:tcPr>
          <w:p>
            <w:pPr>
              <w:spacing w:after="0"/>
              <w:rPr>
                <w:sz w:val="12"/>
                <w:szCs w:val="12"/>
                <w:color w:val="auto"/>
              </w:rPr>
            </w:pPr>
          </w:p>
        </w:tc>
      </w:tr>
      <w:tr>
        <w:trPr>
          <w:trHeight w:val="204"/>
        </w:trPr>
        <w:tc>
          <w:tcPr>
            <w:tcW w:w="4860" w:type="dxa"/>
            <w:vAlign w:val="bottom"/>
          </w:tcPr>
          <w:p>
            <w:pPr>
              <w:spacing w:after="0"/>
              <w:rPr>
                <w:sz w:val="17"/>
                <w:szCs w:val="17"/>
                <w:color w:val="auto"/>
              </w:rPr>
            </w:pPr>
          </w:p>
        </w:tc>
        <w:tc>
          <w:tcPr>
            <w:tcW w:w="274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w w:val="98"/>
              </w:rPr>
              <w:t>President and Chief Executive Officer</w:t>
            </w:r>
          </w:p>
        </w:tc>
      </w:tr>
    </w:tbl>
    <w:p>
      <w:pPr>
        <w:ind w:left="48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40" w:right="339" w:bottom="1440" w:gutter="0" w:footer="0" w:header="0"/>
        </w:sectPr>
      </w:pPr>
    </w:p>
    <w:bookmarkStart w:id="42" w:name="page43"/>
    <w:bookmarkEnd w:id="42"/>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906 OF THE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Jill Klindt, Executive Vice President, Chief Financial Officer, and Treasurer of Workiva Inc. (the “Company”), do hereby certify, pursuant to 18 U.S.C.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that to the best of my knowledge:</w:t>
      </w:r>
    </w:p>
    <w:p>
      <w:pPr>
        <w:spacing w:after="0" w:line="293" w:lineRule="exact"/>
        <w:rPr>
          <w:sz w:val="20"/>
          <w:szCs w:val="20"/>
          <w:color w:val="auto"/>
        </w:rPr>
      </w:pPr>
    </w:p>
    <w:p>
      <w:pPr>
        <w:ind w:left="660" w:right="20" w:hanging="328"/>
        <w:spacing w:after="0" w:line="329"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March 31, 2025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hanging="328"/>
        <w:spacing w:after="0" w:line="34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May 1, 2025</w:t>
            </w: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Jill Klindt</w:t>
            </w:r>
          </w:p>
        </w:tc>
      </w:tr>
      <w:tr>
        <w:trPr>
          <w:trHeight w:val="142"/>
        </w:trPr>
        <w:tc>
          <w:tcPr>
            <w:tcW w:w="4840" w:type="dxa"/>
            <w:vAlign w:val="bottom"/>
          </w:tcPr>
          <w:p>
            <w:pPr>
              <w:spacing w:after="0"/>
              <w:rPr>
                <w:sz w:val="12"/>
                <w:szCs w:val="12"/>
                <w:color w:val="auto"/>
              </w:rPr>
            </w:pPr>
          </w:p>
        </w:tc>
        <w:tc>
          <w:tcPr>
            <w:tcW w:w="9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Jill Klindt</w:t>
            </w:r>
          </w:p>
        </w:tc>
        <w:tc>
          <w:tcPr>
            <w:tcW w:w="3700" w:type="dxa"/>
            <w:vAlign w:val="bottom"/>
          </w:tcPr>
          <w:p>
            <w:pPr>
              <w:spacing w:after="0"/>
              <w:rPr>
                <w:sz w:val="12"/>
                <w:szCs w:val="12"/>
                <w:color w:val="auto"/>
              </w:rPr>
            </w:pPr>
          </w:p>
        </w:tc>
      </w:tr>
      <w:tr>
        <w:trPr>
          <w:trHeight w:val="204"/>
        </w:trPr>
        <w:tc>
          <w:tcPr>
            <w:tcW w:w="4840" w:type="dxa"/>
            <w:vAlign w:val="bottom"/>
          </w:tcPr>
          <w:p>
            <w:pPr>
              <w:spacing w:after="0"/>
              <w:rPr>
                <w:sz w:val="17"/>
                <w:szCs w:val="17"/>
                <w:color w:val="auto"/>
              </w:rPr>
            </w:pPr>
          </w:p>
        </w:tc>
        <w:tc>
          <w:tcPr>
            <w:tcW w:w="464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w w:val="98"/>
              </w:rPr>
              <w:t>Executive Vice President, Chief Financial Officer, and Treasurer</w:t>
            </w:r>
          </w:p>
        </w:tc>
      </w:tr>
    </w:tbl>
    <w:p>
      <w:pPr>
        <w:ind w:left="488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2"/>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6"/>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8"/>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Roman"/>
      <w:start w:val="2"/>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2025-05-01T15:40:47Z</dcterms:created>
  <dcterms:modified xsi:type="dcterms:W3CDTF">2025-05-01T15:40:47Z</dcterms:modified>
</cp:coreProperties>
</file>