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pPr>
      <w:r>
        <w:rPr>
          <w:rFonts w:ascii="Times New Roman;serif" w:hAnsi="Times New Roman;serif"/>
          <w:b/>
          <w:color w:val="000000"/>
          <w:sz w:val="32"/>
        </w:rPr>
        <w:t xml:space="preserve">FORM </w:t>
      </w:r>
      <w:r>
        <w:rPr>
          <w:rFonts w:ascii="Times New Roman;serif" w:hAnsi="Times New Roman;serif"/>
          <w:b/>
          <w:color w:val="000000"/>
          <w:sz w:val="36"/>
        </w:rPr>
        <w:t>10-Q</w:t>
      </w:r>
      <w:r>
        <w:rPr>
          <w:color w:val="000000"/>
        </w:rPr>
        <w:t xml:space="preserve">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9702" w:type="dxa"/>
        <w:jc w:val="center"/>
        <w:tblInd w:w="0" w:type="dxa"/>
        <w:tblLayout w:type="fixed"/>
        <w:tblCellMar>
          <w:top w:w="28" w:type="dxa"/>
          <w:left w:w="28" w:type="dxa"/>
          <w:bottom w:w="28" w:type="dxa"/>
          <w:right w:w="28" w:type="dxa"/>
        </w:tblCellMar>
      </w:tblPr>
      <w:tblGrid>
        <w:gridCol w:w="1680"/>
        <w:gridCol w:w="1482"/>
        <w:gridCol w:w="1482"/>
        <w:gridCol w:w="1482"/>
        <w:gridCol w:w="1482"/>
        <w:gridCol w:w="2094"/>
      </w:tblGrid>
      <w:tr>
        <w:trPr/>
        <w:tc>
          <w:tcPr>
            <w:tcW w:w="168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r>
              <w:rPr>
                <w:color w:val="000000"/>
              </w:rPr>
              <w:t xml:space="preserve">☒ </w:t>
            </w:r>
            <w:r>
              <w:rPr>
                <w:rFonts w:ascii="Times New Roman;serif" w:hAnsi="Times New Roman;serif"/>
                <w:b/>
                <w:color w:val="000000"/>
                <w:sz w:val="18"/>
              </w:rPr>
              <w:t>QUARTERLY REPORT PURSUANT TO SECTION 13 OR 15(d) OF THE SECURITIES EXCHANGE ACT OF 1934</w:t>
            </w:r>
          </w:p>
        </w:tc>
      </w:tr>
      <w:tr>
        <w:trPr/>
        <w:tc>
          <w:tcPr>
            <w:tcW w:w="9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center"/>
              <w:rPr>
                <w:rFonts w:ascii="Times New Roman;serif" w:hAnsi="Times New Roman;serif"/>
                <w:b/>
                <w:color w:val="000000"/>
                <w:sz w:val="18"/>
              </w:rPr>
            </w:pPr>
            <w:r>
              <w:rPr>
                <w:rFonts w:ascii="Times New Roman;serif" w:hAnsi="Times New Roman;serif"/>
                <w:b/>
                <w:color w:val="000000"/>
                <w:sz w:val="18"/>
              </w:rPr>
              <w:t>For transition period from               to</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center"/>
              <w:rPr>
                <w:rFonts w:ascii="Times New Roman;serif" w:hAnsi="Times New Roman;serif"/>
                <w:b/>
                <w:color w:val="000000"/>
                <w:sz w:val="18"/>
              </w:rPr>
            </w:pPr>
            <w:r>
              <w:rPr>
                <w:rFonts w:ascii="Times New Roman;serif" w:hAnsi="Times New Roman;serif"/>
                <w:b/>
                <w:color w:val="000000"/>
                <w:sz w:val="18"/>
              </w:rPr>
              <w:t>Commission File Number 001-36773</w:t>
            </w:r>
          </w:p>
        </w:tc>
      </w:tr>
    </w:tbl>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120" w:after="60"/>
        <w:jc w:val="center"/>
        <w:rPr>
          <w:rFonts w:ascii="Times New Roman;serif" w:hAnsi="Times New Roman;serif"/>
          <w:b/>
          <w:color w:val="000000"/>
          <w:sz w:val="36"/>
        </w:rPr>
      </w:pPr>
      <w:r>
        <w:rPr>
          <w:rFonts w:ascii="Times New Roman;serif" w:hAnsi="Times New Roman;serif"/>
          <w:b/>
          <w:color w:val="000000"/>
          <w:sz w:val="36"/>
        </w:rPr>
        <w:t xml:space="preserve">WORKIVA INC.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7676" w:type="dxa"/>
        <w:jc w:val="center"/>
        <w:tblInd w:w="0" w:type="dxa"/>
        <w:tblLayout w:type="fixed"/>
        <w:tblCellMar>
          <w:top w:w="28" w:type="dxa"/>
          <w:left w:w="28" w:type="dxa"/>
          <w:bottom w:w="28" w:type="dxa"/>
          <w:right w:w="28" w:type="dxa"/>
        </w:tblCellMar>
      </w:tblPr>
      <w:tblGrid>
        <w:gridCol w:w="798"/>
        <w:gridCol w:w="701"/>
        <w:gridCol w:w="701"/>
        <w:gridCol w:w="701"/>
        <w:gridCol w:w="701"/>
        <w:gridCol w:w="717"/>
        <w:gridCol w:w="109"/>
        <w:gridCol w:w="109"/>
        <w:gridCol w:w="109"/>
        <w:gridCol w:w="886"/>
        <w:gridCol w:w="886"/>
        <w:gridCol w:w="1258"/>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47-2509828</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2900 University Blvd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Ames, IA 50010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ableContents"/>
              <w:bidi w:val="0"/>
              <w:spacing w:before="0" w:after="0"/>
              <w:jc w:val="center"/>
              <w:rPr/>
            </w:pPr>
            <w:r>
              <w:rPr/>
            </w:r>
          </w:p>
        </w:tc>
      </w:tr>
    </w:tbl>
    <w:tbl>
      <w:tblPr>
        <w:tblW w:w="8045" w:type="dxa"/>
        <w:jc w:val="left"/>
        <w:tblInd w:w="0" w:type="dxa"/>
        <w:tblLayout w:type="fixed"/>
        <w:tblCellMar>
          <w:top w:w="28" w:type="dxa"/>
          <w:left w:w="28" w:type="dxa"/>
          <w:bottom w:w="28" w:type="dxa"/>
          <w:right w:w="28" w:type="dxa"/>
        </w:tblCellMar>
      </w:tblPr>
      <w:tblGrid>
        <w:gridCol w:w="1137"/>
        <w:gridCol w:w="999"/>
        <w:gridCol w:w="999"/>
        <w:gridCol w:w="477"/>
        <w:gridCol w:w="477"/>
        <w:gridCol w:w="477"/>
        <w:gridCol w:w="1019"/>
        <w:gridCol w:w="1019"/>
        <w:gridCol w:w="1441"/>
      </w:tblGrid>
      <w:tr>
        <w:trPr/>
        <w:tc>
          <w:tcPr>
            <w:tcW w:w="11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120" w:after="60"/>
        <w:ind w:left="0" w:right="0" w:firstLine="7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76" w:before="120" w:after="120"/>
        <w:ind w:left="0" w:right="0" w:firstLine="7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76" w:before="120" w:after="6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364" w:type="dxa"/>
        <w:jc w:val="left"/>
        <w:tblInd w:w="0" w:type="dxa"/>
        <w:tblLayout w:type="fixed"/>
        <w:tblCellMar>
          <w:top w:w="28" w:type="dxa"/>
          <w:left w:w="28" w:type="dxa"/>
          <w:bottom w:w="28" w:type="dxa"/>
          <w:right w:w="28" w:type="dxa"/>
        </w:tblCellMar>
      </w:tblPr>
      <w:tblGrid>
        <w:gridCol w:w="750"/>
        <w:gridCol w:w="660"/>
        <w:gridCol w:w="660"/>
        <w:gridCol w:w="670"/>
        <w:gridCol w:w="670"/>
        <w:gridCol w:w="954"/>
      </w:tblGrid>
      <w:tr>
        <w:trPr/>
        <w:tc>
          <w:tcPr>
            <w:tcW w:w="7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r>
              <w:rPr>
                <w:rFonts w:ascii="Times New Roman;serif" w:hAnsi="Times New Roman;serif"/>
                <w:b w:val="false"/>
                <w:color w:val="000000"/>
                <w:sz w:val="18"/>
              </w:rPr>
              <w:t>Large accelerated filer    </w:t>
            </w: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Accelerated filer </w:t>
            </w:r>
            <w:r>
              <w:rPr>
                <w:rFonts w:ascii="Wingdings;sans-serif" w:hAnsi="Wingdings;sans-serif"/>
                <w:b w:val="false"/>
                <w:color w:val="000000"/>
                <w:sz w:val="20"/>
              </w:rPr>
              <w:t>o</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Non-accelerated filer</w:t>
            </w:r>
            <w:r>
              <w:rPr>
                <w:color w:val="000000"/>
              </w:rPr>
              <w:t>    </w:t>
            </w:r>
            <w:r>
              <w:rPr>
                <w:rFonts w:ascii="Wingdings;sans-serif" w:hAnsi="Wingdings;sans-serif"/>
                <w:b w:val="false"/>
                <w:color w:val="000000"/>
                <w:sz w:val="20"/>
              </w:rPr>
              <w:t>o</w:t>
            </w:r>
            <w:r>
              <w:rPr>
                <w:color w:val="000000"/>
              </w:rPr>
              <w:t xml:space="preserve">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 ☐</w:t>
            </w:r>
          </w:p>
        </w:tc>
      </w:tr>
    </w:tbl>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July 25, 2025, there were approximately 52,169,998 shares of the registrant's Class A common stock and 3,845,583 shares of the registrant's Class B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WORKIVA INC.</w: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272"/>
        <w:gridCol w:w="240"/>
        <w:gridCol w:w="241"/>
        <w:gridCol w:w="109"/>
        <w:gridCol w:w="109"/>
        <w:gridCol w:w="109"/>
        <w:gridCol w:w="2876"/>
        <w:gridCol w:w="2835"/>
        <w:gridCol w:w="2840"/>
        <w:gridCol w:w="167"/>
        <w:gridCol w:w="167"/>
        <w:gridCol w:w="240"/>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1cedb8b51248a29fd000502d946494_13">
              <w:r>
                <w:rPr>
                  <w:rStyle w:val="InternetLink"/>
                  <w:rFonts w:ascii="Times New Roman;serif" w:hAnsi="Times New Roman;serif"/>
                  <w:b/>
                  <w:color w:val="0000FF"/>
                  <w:sz w:val="20"/>
                  <w:u w:val="single"/>
                </w:rPr>
                <w:t>Part I. Financial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6">
              <w:r>
                <w:rPr>
                  <w:rStyle w:val="InternetLink"/>
                  <w:rFonts w:ascii="Times New Roman;serif" w:hAnsi="Times New Roman;serif"/>
                  <w:b w:val="false"/>
                  <w:color w:val="0000FF"/>
                  <w:sz w:val="20"/>
                  <w:u w:val="single"/>
                </w:rPr>
                <w:t>Item 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6">
              <w:r>
                <w:rPr>
                  <w:rStyle w:val="InternetLink"/>
                  <w:rFonts w:ascii="Times New Roman;serif" w:hAnsi="Times New Roman;serif"/>
                  <w:b w:val="false"/>
                  <w:color w:val="0000FF"/>
                  <w:sz w:val="20"/>
                  <w:u w:val="single"/>
                </w:rPr>
                <w:t>Unaudited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16">
              <w:r>
                <w:rPr>
                  <w:rStyle w:val="InternetLink"/>
                  <w:rFonts w:ascii="Times New Roman;serif" w:hAnsi="Times New Roman;serif"/>
                  <w:b w:val="false"/>
                  <w:color w:val="0000FF"/>
                  <w:sz w:val="20"/>
                  <w:u w:val="single"/>
                </w:rPr>
                <w:t>1</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9">
              <w:r>
                <w:rPr>
                  <w:rStyle w:val="InternetLink"/>
                  <w:rFonts w:ascii="Times New Roman;serif" w:hAnsi="Times New Roman;serif"/>
                  <w:b w:val="false"/>
                  <w:color w:val="000080"/>
                  <w:sz w:val="20"/>
                  <w:u w:val="single"/>
                </w:rPr>
                <w:t xml:space="preserve">Consolidated Balance Sheets as of </w:t>
              </w:r>
            </w:hyperlink>
            <w:hyperlink w:anchor="ic11cedb8b51248a29fd000502d946494_19">
              <w:r>
                <w:rPr>
                  <w:rStyle w:val="InternetLink"/>
                  <w:rFonts w:ascii="Times New Roman;serif" w:hAnsi="Times New Roman;serif"/>
                  <w:b w:val="false"/>
                  <w:color w:val="000080"/>
                  <w:sz w:val="20"/>
                  <w:u w:val="single"/>
                </w:rPr>
                <w:t>June 30, 2025</w:t>
              </w:r>
            </w:hyperlink>
            <w:hyperlink w:anchor="ic11cedb8b51248a29fd000502d946494_19">
              <w:r>
                <w:rPr>
                  <w:rStyle w:val="InternetLink"/>
                  <w:rFonts w:ascii="Times New Roman;serif" w:hAnsi="Times New Roman;serif"/>
                  <w:b w:val="false"/>
                  <w:color w:val="000080"/>
                  <w:sz w:val="20"/>
                  <w:u w:val="single"/>
                </w:rPr>
                <w:t xml:space="preserve"> and </w:t>
              </w:r>
            </w:hyperlink>
            <w:hyperlink w:anchor="ic11cedb8b51248a29fd000502d946494_19">
              <w:r>
                <w:rPr>
                  <w:rStyle w:val="InternetLink"/>
                  <w:rFonts w:ascii="Times New Roman;serif" w:hAnsi="Times New Roman;serif"/>
                  <w:b w:val="false"/>
                  <w:color w:val="000080"/>
                  <w:sz w:val="20"/>
                  <w:u w:val="single"/>
                </w:rPr>
                <w:t>December 31, 2024</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19">
              <w:r>
                <w:rPr>
                  <w:rStyle w:val="InternetLink"/>
                  <w:rFonts w:ascii="Times New Roman;serif" w:hAnsi="Times New Roman;serif"/>
                  <w:b w:val="false"/>
                  <w:color w:val="0000FF"/>
                  <w:sz w:val="20"/>
                  <w:u w:val="single"/>
                </w:rPr>
                <w:t>1</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22">
              <w:r>
                <w:rPr>
                  <w:rStyle w:val="InternetLink"/>
                  <w:rFonts w:ascii="Times New Roman;serif" w:hAnsi="Times New Roman;serif"/>
                  <w:b w:val="false"/>
                  <w:color w:val="000080"/>
                  <w:sz w:val="20"/>
                  <w:u w:val="single"/>
                </w:rPr>
                <w:t xml:space="preserve">Consolidated Statements of Operations for the </w:t>
              </w:r>
            </w:hyperlink>
            <w:hyperlink w:anchor="ic11cedb8b51248a29fd000502d946494_22">
              <w:r>
                <w:rPr>
                  <w:rStyle w:val="InternetLink"/>
                  <w:rFonts w:ascii="Times New Roman;serif" w:hAnsi="Times New Roman;serif"/>
                  <w:b w:val="false"/>
                  <w:color w:val="000080"/>
                  <w:sz w:val="20"/>
                  <w:u w:val="single"/>
                </w:rPr>
                <w:t>Three and Six</w:t>
              </w:r>
            </w:hyperlink>
            <w:hyperlink w:anchor="ic11cedb8b51248a29fd000502d946494_22">
              <w:r>
                <w:rPr>
                  <w:rStyle w:val="InternetLink"/>
                  <w:rFonts w:ascii="Times New Roman;serif" w:hAnsi="Times New Roman;serif"/>
                  <w:b w:val="false"/>
                  <w:color w:val="000080"/>
                  <w:sz w:val="20"/>
                  <w:u w:val="single"/>
                </w:rPr>
                <w:t xml:space="preserve"> Months Ended </w:t>
              </w:r>
            </w:hyperlink>
            <w:hyperlink w:anchor="ic11cedb8b51248a29fd000502d946494_22">
              <w:r>
                <w:rPr>
                  <w:rStyle w:val="InternetLink"/>
                  <w:rFonts w:ascii="Times New Roman;serif" w:hAnsi="Times New Roman;serif"/>
                  <w:b w:val="false"/>
                  <w:color w:val="000080"/>
                  <w:sz w:val="20"/>
                  <w:u w:val="single"/>
                </w:rPr>
                <w:t>June 30, 2025</w:t>
              </w:r>
            </w:hyperlink>
            <w:hyperlink w:anchor="ic11cedb8b51248a29fd000502d946494_22">
              <w:r>
                <w:rPr>
                  <w:rStyle w:val="InternetLink"/>
                  <w:rFonts w:ascii="Times New Roman;serif" w:hAnsi="Times New Roman;serif"/>
                  <w:b w:val="false"/>
                  <w:color w:val="000080"/>
                  <w:sz w:val="20"/>
                  <w:u w:val="single"/>
                </w:rPr>
                <w:t xml:space="preserve"> and </w:t>
              </w:r>
            </w:hyperlink>
            <w:hyperlink w:anchor="ic11cedb8b51248a29fd000502d946494_22">
              <w:r>
                <w:rPr>
                  <w:rStyle w:val="InternetLink"/>
                  <w:rFonts w:ascii="Times New Roman;serif" w:hAnsi="Times New Roman;serif"/>
                  <w:b w:val="false"/>
                  <w:color w:val="000080"/>
                  <w:sz w:val="20"/>
                  <w:u w:val="single"/>
                </w:rPr>
                <w:t>2024</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22">
              <w:r>
                <w:rPr>
                  <w:rStyle w:val="InternetLink"/>
                  <w:rFonts w:ascii="Times New Roman;serif" w:hAnsi="Times New Roman;serif"/>
                  <w:b w:val="false"/>
                  <w:color w:val="0000FF"/>
                  <w:sz w:val="20"/>
                  <w:u w:val="single"/>
                </w:rPr>
                <w:t>3</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25">
              <w:r>
                <w:rPr>
                  <w:rStyle w:val="InternetLink"/>
                  <w:rFonts w:ascii="Times New Roman;serif" w:hAnsi="Times New Roman;serif"/>
                  <w:b w:val="false"/>
                  <w:color w:val="000080"/>
                  <w:sz w:val="20"/>
                  <w:u w:val="single"/>
                </w:rPr>
                <w:t xml:space="preserve">Consolidated Statements of Comprehensive Loss for the </w:t>
              </w:r>
            </w:hyperlink>
            <w:hyperlink w:anchor="ic11cedb8b51248a29fd000502d946494_25">
              <w:r>
                <w:rPr>
                  <w:rStyle w:val="InternetLink"/>
                  <w:rFonts w:ascii="Times New Roman;serif" w:hAnsi="Times New Roman;serif"/>
                  <w:b w:val="false"/>
                  <w:color w:val="000080"/>
                  <w:sz w:val="20"/>
                  <w:u w:val="single"/>
                </w:rPr>
                <w:t>Three and Six</w:t>
              </w:r>
            </w:hyperlink>
            <w:hyperlink w:anchor="ic11cedb8b51248a29fd000502d946494_25">
              <w:r>
                <w:rPr>
                  <w:rStyle w:val="InternetLink"/>
                  <w:rFonts w:ascii="Times New Roman;serif" w:hAnsi="Times New Roman;serif"/>
                  <w:b w:val="false"/>
                  <w:color w:val="000080"/>
                  <w:sz w:val="20"/>
                  <w:u w:val="single"/>
                </w:rPr>
                <w:t xml:space="preserve"> Months Ended </w:t>
              </w:r>
            </w:hyperlink>
            <w:hyperlink w:anchor="ic11cedb8b51248a29fd000502d946494_25">
              <w:r>
                <w:rPr>
                  <w:rStyle w:val="InternetLink"/>
                  <w:rFonts w:ascii="Times New Roman;serif" w:hAnsi="Times New Roman;serif"/>
                  <w:b w:val="false"/>
                  <w:color w:val="000080"/>
                  <w:sz w:val="20"/>
                  <w:u w:val="single"/>
                </w:rPr>
                <w:t>June 30, 2025</w:t>
              </w:r>
            </w:hyperlink>
            <w:hyperlink w:anchor="ic11cedb8b51248a29fd000502d946494_25">
              <w:r>
                <w:rPr>
                  <w:rStyle w:val="InternetLink"/>
                  <w:rFonts w:ascii="Times New Roman;serif" w:hAnsi="Times New Roman;serif"/>
                  <w:b w:val="false"/>
                  <w:color w:val="000080"/>
                  <w:sz w:val="20"/>
                  <w:u w:val="single"/>
                </w:rPr>
                <w:t xml:space="preserve"> and </w:t>
              </w:r>
            </w:hyperlink>
            <w:hyperlink w:anchor="ic11cedb8b51248a29fd000502d946494_25">
              <w:r>
                <w:rPr>
                  <w:rStyle w:val="InternetLink"/>
                  <w:rFonts w:ascii="Times New Roman;serif" w:hAnsi="Times New Roman;serif"/>
                  <w:b w:val="false"/>
                  <w:color w:val="000080"/>
                  <w:sz w:val="20"/>
                  <w:u w:val="single"/>
                </w:rPr>
                <w:t>2024</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25">
              <w:r>
                <w:rPr>
                  <w:rStyle w:val="InternetLink"/>
                  <w:rFonts w:ascii="Times New Roman;serif" w:hAnsi="Times New Roman;serif"/>
                  <w:b w:val="false"/>
                  <w:color w:val="0000FF"/>
                  <w:sz w:val="20"/>
                  <w:u w:val="single"/>
                </w:rPr>
                <w:t>4</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28">
              <w:r>
                <w:rPr>
                  <w:rStyle w:val="InternetLink"/>
                  <w:rFonts w:ascii="Times New Roman;serif" w:hAnsi="Times New Roman;serif"/>
                  <w:b w:val="false"/>
                  <w:color w:val="000080"/>
                  <w:sz w:val="20"/>
                  <w:u w:val="single"/>
                </w:rPr>
                <w:t xml:space="preserve">Consolidated Statements of Changes in Stockholders' Deficit for the </w:t>
              </w:r>
            </w:hyperlink>
            <w:hyperlink w:anchor="ic11cedb8b51248a29fd000502d946494_25">
              <w:r>
                <w:rPr>
                  <w:rStyle w:val="InternetLink"/>
                  <w:rFonts w:ascii="Times New Roman;serif" w:hAnsi="Times New Roman;serif"/>
                  <w:b w:val="false"/>
                  <w:color w:val="000080"/>
                  <w:sz w:val="20"/>
                  <w:u w:val="single"/>
                </w:rPr>
                <w:t>Three and Six</w:t>
              </w:r>
            </w:hyperlink>
            <w:hyperlink w:anchor="ic11cedb8b51248a29fd000502d946494_28">
              <w:r>
                <w:rPr>
                  <w:rStyle w:val="InternetLink"/>
                  <w:rFonts w:ascii="Times New Roman;serif" w:hAnsi="Times New Roman;serif"/>
                  <w:b w:val="false"/>
                  <w:color w:val="000080"/>
                  <w:sz w:val="20"/>
                  <w:u w:val="single"/>
                </w:rPr>
                <w:t xml:space="preserve"> Months Ended </w:t>
              </w:r>
            </w:hyperlink>
            <w:hyperlink w:anchor="ic11cedb8b51248a29fd000502d946494_25">
              <w:r>
                <w:rPr>
                  <w:rStyle w:val="InternetLink"/>
                  <w:rFonts w:ascii="Times New Roman;serif" w:hAnsi="Times New Roman;serif"/>
                  <w:b w:val="false"/>
                  <w:color w:val="000080"/>
                  <w:sz w:val="20"/>
                  <w:u w:val="single"/>
                </w:rPr>
                <w:t>June 30, 2025</w:t>
              </w:r>
            </w:hyperlink>
            <w:hyperlink w:anchor="ic11cedb8b51248a29fd000502d946494_28">
              <w:r>
                <w:rPr>
                  <w:rStyle w:val="InternetLink"/>
                  <w:rFonts w:ascii="Times New Roman;serif" w:hAnsi="Times New Roman;serif"/>
                  <w:b w:val="false"/>
                  <w:color w:val="000080"/>
                  <w:sz w:val="20"/>
                  <w:u w:val="single"/>
                </w:rPr>
                <w:t xml:space="preserve"> and </w:t>
              </w:r>
            </w:hyperlink>
            <w:hyperlink w:anchor="ic11cedb8b51248a29fd000502d946494_25">
              <w:r>
                <w:rPr>
                  <w:rStyle w:val="InternetLink"/>
                  <w:rFonts w:ascii="Times New Roman;serif" w:hAnsi="Times New Roman;serif"/>
                  <w:b w:val="false"/>
                  <w:color w:val="000080"/>
                  <w:sz w:val="20"/>
                  <w:u w:val="single"/>
                </w:rPr>
                <w:t>2024</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28">
              <w:r>
                <w:rPr>
                  <w:rStyle w:val="InternetLink"/>
                  <w:rFonts w:ascii="Times New Roman;serif" w:hAnsi="Times New Roman;serif"/>
                  <w:b w:val="false"/>
                  <w:color w:val="0000FF"/>
                  <w:sz w:val="20"/>
                  <w:u w:val="single"/>
                </w:rPr>
                <w:t>5</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31">
              <w:r>
                <w:rPr>
                  <w:rStyle w:val="InternetLink"/>
                  <w:rFonts w:ascii="Times New Roman;serif" w:hAnsi="Times New Roman;serif"/>
                  <w:b w:val="false"/>
                  <w:color w:val="000080"/>
                  <w:sz w:val="20"/>
                  <w:u w:val="single"/>
                </w:rPr>
                <w:t xml:space="preserve">Consolidated Statements of Cash Flows for the </w:t>
              </w:r>
            </w:hyperlink>
            <w:hyperlink w:anchor="ic11cedb8b51248a29fd000502d946494_31">
              <w:r>
                <w:rPr>
                  <w:rStyle w:val="InternetLink"/>
                  <w:rFonts w:ascii="Times New Roman;serif" w:hAnsi="Times New Roman;serif"/>
                  <w:b w:val="false"/>
                  <w:color w:val="000080"/>
                  <w:sz w:val="20"/>
                  <w:u w:val="single"/>
                </w:rPr>
                <w:t>Three and Six</w:t>
              </w:r>
            </w:hyperlink>
            <w:hyperlink w:anchor="ic11cedb8b51248a29fd000502d946494_31">
              <w:r>
                <w:rPr>
                  <w:rStyle w:val="InternetLink"/>
                  <w:rFonts w:ascii="Times New Roman;serif" w:hAnsi="Times New Roman;serif"/>
                  <w:b w:val="false"/>
                  <w:color w:val="000080"/>
                  <w:sz w:val="20"/>
                  <w:u w:val="single"/>
                </w:rPr>
                <w:t xml:space="preserve"> Months Ended </w:t>
              </w:r>
            </w:hyperlink>
            <w:hyperlink w:anchor="ic11cedb8b51248a29fd000502d946494_31">
              <w:r>
                <w:rPr>
                  <w:rStyle w:val="InternetLink"/>
                  <w:rFonts w:ascii="Times New Roman;serif" w:hAnsi="Times New Roman;serif"/>
                  <w:b w:val="false"/>
                  <w:color w:val="000080"/>
                  <w:sz w:val="20"/>
                  <w:u w:val="single"/>
                </w:rPr>
                <w:t>June 30, 2025</w:t>
              </w:r>
            </w:hyperlink>
            <w:hyperlink w:anchor="ic11cedb8b51248a29fd000502d946494_31">
              <w:r>
                <w:rPr>
                  <w:rStyle w:val="InternetLink"/>
                  <w:rFonts w:ascii="Times New Roman;serif" w:hAnsi="Times New Roman;serif"/>
                  <w:b w:val="false"/>
                  <w:color w:val="000080"/>
                  <w:sz w:val="20"/>
                  <w:u w:val="single"/>
                </w:rPr>
                <w:t xml:space="preserve"> and </w:t>
              </w:r>
            </w:hyperlink>
            <w:hyperlink w:anchor="ic11cedb8b51248a29fd000502d946494_31">
              <w:r>
                <w:rPr>
                  <w:rStyle w:val="InternetLink"/>
                  <w:rFonts w:ascii="Times New Roman;serif" w:hAnsi="Times New Roman;serif"/>
                  <w:b w:val="false"/>
                  <w:color w:val="000080"/>
                  <w:sz w:val="20"/>
                  <w:u w:val="single"/>
                </w:rPr>
                <w:t>2024</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31">
              <w:r>
                <w:rPr>
                  <w:rStyle w:val="InternetLink"/>
                  <w:rFonts w:ascii="Times New Roman;serif" w:hAnsi="Times New Roman;serif"/>
                  <w:b w:val="false"/>
                  <w:color w:val="0000FF"/>
                  <w:sz w:val="20"/>
                  <w:u w:val="single"/>
                </w:rPr>
                <w:t>7</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34">
              <w:r>
                <w:rPr>
                  <w:rStyle w:val="InternetLink"/>
                  <w:rFonts w:ascii="Times New Roman;serif" w:hAnsi="Times New Roman;serif"/>
                  <w:b w:val="false"/>
                  <w:color w:val="000080"/>
                  <w:sz w:val="20"/>
                  <w:u w:val="single"/>
                </w:rPr>
                <w:t xml:space="preserve">Notes to </w:t>
              </w:r>
            </w:hyperlink>
            <w:hyperlink w:anchor="ic11cedb8b51248a29fd000502d946494_34">
              <w:r>
                <w:rPr>
                  <w:rStyle w:val="InternetLink"/>
                  <w:rFonts w:ascii="Times New Roman;serif" w:hAnsi="Times New Roman;serif"/>
                  <w:b w:val="false"/>
                  <w:color w:val="000080"/>
                  <w:sz w:val="20"/>
                  <w:u w:val="single"/>
                </w:rPr>
                <w:t>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34">
              <w:r>
                <w:rPr>
                  <w:rStyle w:val="InternetLink"/>
                  <w:rFonts w:ascii="Times New Roman;serif" w:hAnsi="Times New Roman;serif"/>
                  <w:b w:val="false"/>
                  <w:color w:val="0000FF"/>
                  <w:sz w:val="20"/>
                  <w:u w:val="single"/>
                </w:rPr>
                <w:t>9</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76">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76">
              <w:r>
                <w:rPr>
                  <w:rStyle w:val="InternetLink"/>
                  <w:rFonts w:ascii="Times New Roman;serif" w:hAnsi="Times New Roman;serif"/>
                  <w:b w:val="false"/>
                  <w:color w:val="0000FF"/>
                  <w:sz w:val="20"/>
                  <w:u w:val="single"/>
                </w:rPr>
                <w:t>22</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00">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00">
              <w:r>
                <w:rPr>
                  <w:rStyle w:val="InternetLink"/>
                  <w:rFonts w:ascii="Times New Roman;serif" w:hAnsi="Times New Roman;serif"/>
                  <w:b w:val="false"/>
                  <w:color w:val="0000FF"/>
                  <w:sz w:val="20"/>
                  <w:u w:val="single"/>
                </w:rPr>
                <w:t>Quantitative and Qualitative Disclosure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100">
              <w:r>
                <w:rPr>
                  <w:rStyle w:val="InternetLink"/>
                  <w:rFonts w:ascii="Times New Roman;serif" w:hAnsi="Times New Roman;serif"/>
                  <w:b w:val="false"/>
                  <w:color w:val="0000FF"/>
                  <w:sz w:val="20"/>
                  <w:u w:val="single"/>
                </w:rPr>
                <w:t>36</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03">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03">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103">
              <w:r>
                <w:rPr>
                  <w:rStyle w:val="InternetLink"/>
                  <w:rFonts w:ascii="Times New Roman;serif" w:hAnsi="Times New Roman;serif"/>
                  <w:b w:val="false"/>
                  <w:color w:val="0000FF"/>
                  <w:sz w:val="20"/>
                  <w:u w:val="single"/>
                </w:rPr>
                <w:t>36</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11cedb8b51248a29fd000502d946494_106">
              <w:r>
                <w:rPr>
                  <w:rStyle w:val="InternetLink"/>
                  <w:rFonts w:ascii="Times New Roman;serif" w:hAnsi="Times New Roman;serif"/>
                  <w:b/>
                  <w:color w:val="0000FF"/>
                  <w:sz w:val="20"/>
                  <w:u w:val="single"/>
                </w:rPr>
                <w:t>Part II.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09">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09">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109">
              <w:r>
                <w:rPr>
                  <w:rStyle w:val="InternetLink"/>
                  <w:rFonts w:ascii="Times New Roman;serif" w:hAnsi="Times New Roman;serif"/>
                  <w:b w:val="false"/>
                  <w:color w:val="0000FF"/>
                  <w:sz w:val="20"/>
                  <w:u w:val="single"/>
                </w:rPr>
                <w:t>37</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12">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12">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112">
              <w:r>
                <w:rPr>
                  <w:rStyle w:val="InternetLink"/>
                  <w:rFonts w:ascii="Times New Roman;serif" w:hAnsi="Times New Roman;serif"/>
                  <w:b w:val="false"/>
                  <w:color w:val="0000FF"/>
                  <w:sz w:val="20"/>
                  <w:u w:val="single"/>
                </w:rPr>
                <w:t>37</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15">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15">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115">
              <w:r>
                <w:rPr>
                  <w:rStyle w:val="InternetLink"/>
                  <w:rFonts w:ascii="Times New Roman;serif" w:hAnsi="Times New Roman;serif"/>
                  <w:b w:val="false"/>
                  <w:color w:val="0000FF"/>
                  <w:sz w:val="20"/>
                  <w:u w:val="single"/>
                </w:rPr>
                <w:t>37</w:t>
              </w:r>
            </w:hyperlink>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24">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24">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124">
              <w:r>
                <w:rPr>
                  <w:rStyle w:val="InternetLink"/>
                  <w:rFonts w:ascii="Times New Roman;serif" w:hAnsi="Times New Roman;serif"/>
                  <w:b w:val="false"/>
                  <w:color w:val="0000FF"/>
                  <w:sz w:val="20"/>
                  <w:u w:val="single"/>
                </w:rPr>
                <w:t>39</w:t>
              </w:r>
            </w:hyperlink>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11cedb8b51248a29fd000502d946494_127">
              <w:r>
                <w:rPr>
                  <w:rStyle w:val="InternetLink"/>
                  <w:rFonts w:ascii="Times New Roman;serif" w:hAnsi="Times New Roman;serif"/>
                  <w:b w:val="false"/>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1cedb8b51248a29fd000502d946494_127">
              <w:r>
                <w:rPr>
                  <w:rStyle w:val="InternetLink"/>
                  <w:rFonts w:ascii="Times New Roman;serif" w:hAnsi="Times New Roman;serif"/>
                  <w:b w:val="false"/>
                  <w:color w:val="0000FF"/>
                  <w:sz w:val="20"/>
                  <w:u w:val="single"/>
                </w:rPr>
                <w:t>S-1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SPECIAL NOTE REGARDING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Certain statements in this Quarterly Report on Form 10-Q are “forward-looking statements” within the meaning of Section 21E of the Securities Exchange Act of 1934, as amended, and are subject to the safe harbor created thereby. All statements contained in this Quarterly Report on Form 10-Q other than statements of historical facts,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“Item 1A. Risk Factors” of our Annual Report on Form 10-K for the year ended December 31, 2024, in “Item 1A. Risk Factors” in Part II of this Quarterly Report on Form 10-Q and in any subsequent filing we make with the SEC, as well as in any documents incorporated by reference that describe risks and factors that could cause results to differ materially from those projected in these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Moreover, we operate in a very competitive and dynamic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Although we believe that the expectations reflected in the forward-looking statements are reasonable, we cannot guarantee future results, levels of activity, performance, achievements or events and circumstances reflected in the forward-looking statements will occur. We are under no duty to update any of these forward-looking statements after completion of this Quarterly Report on Form 10-Q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417"/>
        <w:gridCol w:w="2040"/>
        <w:gridCol w:w="2009"/>
        <w:gridCol w:w="249"/>
        <w:gridCol w:w="1154"/>
        <w:gridCol w:w="128"/>
        <w:gridCol w:w="128"/>
        <w:gridCol w:w="128"/>
        <w:gridCol w:w="128"/>
        <w:gridCol w:w="285"/>
        <w:gridCol w:w="1324"/>
        <w:gridCol w:w="215"/>
      </w:tblGrid>
      <w:tr>
        <w:trPr/>
        <w:tc>
          <w:tcPr>
            <w:tcW w:w="2417"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rPr/>
        <w:tc>
          <w:tcPr>
            <w:tcW w:w="6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6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284,253 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301,835 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514,585 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doubtful accounts of $912 and $1,220 at June 30, 2025 and December 31, 2024, respectively</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121,564 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148,433 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1,023,148 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1,048,242 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non-current</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1,345,742 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1,368,469 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36"/>
        <w:gridCol w:w="2145"/>
        <w:gridCol w:w="2148"/>
        <w:gridCol w:w="237"/>
        <w:gridCol w:w="1098"/>
        <w:gridCol w:w="122"/>
        <w:gridCol w:w="122"/>
        <w:gridCol w:w="122"/>
        <w:gridCol w:w="122"/>
        <w:gridCol w:w="259"/>
        <w:gridCol w:w="1199"/>
        <w:gridCol w:w="195"/>
      </w:tblGrid>
      <w:tr>
        <w:trPr/>
        <w:tc>
          <w:tcPr>
            <w:tcW w:w="2436"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BALANCE SHEETS (continued)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rPr/>
        <w:tc>
          <w:tcPr>
            <w:tcW w:w="6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6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457,608 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current</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662,275 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592,425 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non-current</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764,891 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1,410,153 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4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 1,000,000,000 shares authorized, 51,998,172 and 51,646,053 shares issued and outstanding at June 30, 2025 and December 31, 2024, respectively</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per share, 500,000,000 shares authorized, 3,845,583 and 3,845,583 shares issued and outstanding at June 30, 2025 and December 31, 2024, respectively</w:t>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per share, 100,000,000 shares authorized, no shares issued and outstanding</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672,363 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(748,454)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(41,684)</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1,345,742 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1,368,469 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erif" w:hAnsi="Times New Roman;serif"/>
          <w:b w:val="false"/>
          <w:i/>
          <w:color w:val="000000"/>
          <w:sz w:val="22"/>
        </w:rPr>
        <w:t>See accompanying notes.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672"/>
        <w:gridCol w:w="1367"/>
        <w:gridCol w:w="1378"/>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167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 and 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56,076,723 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55,046,507 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left"/>
        <w:rPr/>
      </w:pPr>
      <w:r>
        <w:rPr/>
      </w:r>
    </w:p>
    <w:p>
      <w:pPr>
        <w:pStyle w:val="TextBody"/>
        <w:bidi w:val="0"/>
        <w:spacing w:lineRule="auto" w:line="288" w:before="100" w:after="100"/>
        <w:jc w:val="left"/>
        <w:rPr/>
      </w:pPr>
      <w:r>
        <w:rPr>
          <w:rFonts w:ascii="Times New Roman;serif" w:hAnsi="Times New Roman;serif"/>
          <w:b w:val="false"/>
          <w:i/>
          <w:color w:val="000000"/>
          <w:sz w:val="22"/>
        </w:rPr>
        <w:t>See accompanying notes.</w:t>
      </w:r>
      <w:r>
        <w:rPr>
          <w:color w:val="000000"/>
        </w:rPr>
        <w:t xml:space="preserve">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tbl>
      <w:tblPr>
        <w:tblW w:w="9903" w:type="dxa"/>
        <w:jc w:val="center"/>
        <w:tblInd w:w="0" w:type="dxa"/>
        <w:tblLayout w:type="fixed"/>
        <w:tblCellMar>
          <w:top w:w="28" w:type="dxa"/>
          <w:left w:w="28" w:type="dxa"/>
          <w:bottom w:w="28" w:type="dxa"/>
          <w:right w:w="28" w:type="dxa"/>
        </w:tblCellMar>
      </w:tblPr>
      <w:tblGrid>
        <w:gridCol w:w="1596"/>
        <w:gridCol w:w="1394"/>
        <w:gridCol w:w="1419"/>
        <w:gridCol w:w="211"/>
        <w:gridCol w:w="798"/>
        <w:gridCol w:w="109"/>
        <w:gridCol w:w="109"/>
        <w:gridCol w:w="109"/>
        <w:gridCol w:w="109"/>
        <w:gridCol w:w="211"/>
        <w:gridCol w:w="798"/>
        <w:gridCol w:w="109"/>
        <w:gridCol w:w="109"/>
        <w:gridCol w:w="109"/>
        <w:gridCol w:w="109"/>
        <w:gridCol w:w="211"/>
        <w:gridCol w:w="796"/>
        <w:gridCol w:w="109"/>
        <w:gridCol w:w="109"/>
        <w:gridCol w:w="109"/>
        <w:gridCol w:w="109"/>
        <w:gridCol w:w="211"/>
        <w:gridCol w:w="796"/>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03"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securities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 xml:space="preserve">See accompanying notes.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27"/>
        <w:gridCol w:w="459"/>
        <w:gridCol w:w="462"/>
        <w:gridCol w:w="323"/>
        <w:gridCol w:w="323"/>
        <w:gridCol w:w="186"/>
        <w:gridCol w:w="120"/>
        <w:gridCol w:w="120"/>
        <w:gridCol w:w="120"/>
        <w:gridCol w:w="264"/>
        <w:gridCol w:w="364"/>
        <w:gridCol w:w="120"/>
        <w:gridCol w:w="109"/>
        <w:gridCol w:w="109"/>
        <w:gridCol w:w="109"/>
        <w:gridCol w:w="249"/>
        <w:gridCol w:w="938"/>
        <w:gridCol w:w="140"/>
        <w:gridCol w:w="109"/>
        <w:gridCol w:w="109"/>
        <w:gridCol w:w="109"/>
        <w:gridCol w:w="339"/>
        <w:gridCol w:w="988"/>
        <w:gridCol w:w="189"/>
        <w:gridCol w:w="109"/>
        <w:gridCol w:w="109"/>
        <w:gridCol w:w="109"/>
        <w:gridCol w:w="205"/>
        <w:gridCol w:w="798"/>
        <w:gridCol w:w="114"/>
        <w:gridCol w:w="109"/>
        <w:gridCol w:w="109"/>
        <w:gridCol w:w="109"/>
        <w:gridCol w:w="240"/>
        <w:gridCol w:w="811"/>
        <w:gridCol w:w="198"/>
      </w:tblGrid>
      <w:tr>
        <w:trPr/>
        <w:tc>
          <w:tcPr>
            <w:tcW w:w="82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DEFICIT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br/>
              <w:t>(unaudited)</w:t>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A and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672,363 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(707,683)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(41,684)</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31,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55,753 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655,377 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(729,054)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(75,735)</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28,467 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June 30, 2025</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55,844 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675,076 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(748,454)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(66,528)</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23"/>
        <w:gridCol w:w="456"/>
        <w:gridCol w:w="458"/>
        <w:gridCol w:w="323"/>
        <w:gridCol w:w="323"/>
        <w:gridCol w:w="186"/>
        <w:gridCol w:w="119"/>
        <w:gridCol w:w="119"/>
        <w:gridCol w:w="119"/>
        <w:gridCol w:w="264"/>
        <w:gridCol w:w="364"/>
        <w:gridCol w:w="119"/>
        <w:gridCol w:w="111"/>
        <w:gridCol w:w="111"/>
        <w:gridCol w:w="111"/>
        <w:gridCol w:w="248"/>
        <w:gridCol w:w="937"/>
        <w:gridCol w:w="140"/>
        <w:gridCol w:w="111"/>
        <w:gridCol w:w="111"/>
        <w:gridCol w:w="111"/>
        <w:gridCol w:w="338"/>
        <w:gridCol w:w="985"/>
        <w:gridCol w:w="189"/>
        <w:gridCol w:w="111"/>
        <w:gridCol w:w="111"/>
        <w:gridCol w:w="111"/>
        <w:gridCol w:w="205"/>
        <w:gridCol w:w="797"/>
        <w:gridCol w:w="114"/>
        <w:gridCol w:w="111"/>
        <w:gridCol w:w="111"/>
        <w:gridCol w:w="111"/>
        <w:gridCol w:w="245"/>
        <w:gridCol w:w="822"/>
        <w:gridCol w:w="180"/>
      </w:tblGrid>
      <w:tr>
        <w:trPr/>
        <w:tc>
          <w:tcPr>
            <w:tcW w:w="82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DEFICIT (continued)</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br/>
              <w:t>(unaudited)</w:t>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1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A and B)</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54,179 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562,942 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(652,641)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(89,390)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54,785 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584,752 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(664,328)</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(83,156)</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June 30,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54,914 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608,804 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(4,730)</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(681,876)</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(77,747)</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4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16"/>
        <w:gridCol w:w="1489"/>
        <w:gridCol w:w="1500"/>
        <w:gridCol w:w="211"/>
        <w:gridCol w:w="773"/>
        <w:gridCol w:w="109"/>
        <w:gridCol w:w="109"/>
        <w:gridCol w:w="109"/>
        <w:gridCol w:w="109"/>
        <w:gridCol w:w="211"/>
        <w:gridCol w:w="773"/>
        <w:gridCol w:w="109"/>
        <w:gridCol w:w="109"/>
        <w:gridCol w:w="109"/>
        <w:gridCol w:w="109"/>
        <w:gridCol w:w="211"/>
        <w:gridCol w:w="772"/>
        <w:gridCol w:w="109"/>
        <w:gridCol w:w="109"/>
        <w:gridCol w:w="109"/>
        <w:gridCol w:w="109"/>
        <w:gridCol w:w="211"/>
        <w:gridCol w:w="772"/>
        <w:gridCol w:w="158"/>
      </w:tblGrid>
      <w:tr>
        <w:trPr/>
        <w:tc>
          <w:tcPr>
            <w:tcW w:w="1816"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br/>
              <w:t>(unaudited)</w:t>
            </w:r>
          </w:p>
        </w:tc>
      </w:tr>
      <w:tr>
        <w:trPr/>
        <w:tc>
          <w:tcPr>
            <w:tcW w:w="4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(used in) operating activities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of) provision for doubtful accounts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premiums and discounts on marketable securities,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marketable securities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(151,553)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marketable securities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8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31"/>
        <w:gridCol w:w="1376"/>
        <w:gridCol w:w="138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3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br/>
              <w:t>(unaudited)</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option exercises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settlements of stock-based compensation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in connection with 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to the consolidated balance sheets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prepaid expenses and other at end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at end of period shown in the consolidated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268,412 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WORKIVA INC.</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1. Organization and Significant Accounting Policies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Organization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Workiva Inc., a Delaware corporation, and its wholly-owned subsidiaries (the “Company” or “we” or “us”) build and deliver the platform that powers transparency, accountability, and trust. Finance, accounting, sustainability, risk and audit teams worldwide rely on Workiva for their mission-critical work. We transform how customers connect data, unify processes, and empower teams in a secure, audit-ready, AI-powered collaborative platform. Our operational headquarters are located in Ames, Iowa. We also lease office facilities or contract with flexible workspace providers throughout the United States ("U.S"). and internationally.</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Basis of Presentation and Principles of Consolidation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financial information presented in the accompanying unaudited consolidated financial statements has been prepared in accordance with U.S. generally accepted accounting principles (“U.S. GAAP”) and in accordance with rules and regulations of the U.S. Securities and Exchange Commission (“SEC”) regarding interim financial reporting. The consolidated balance sheet data as of December 31, 2024 was derived from audited financial statements, but does not include all disclosures required by U.S. GAAP. In the opinion of management, the accompanying unaudited consolidated financial statements reflect all adjustments, consisting primarily of normal recurring accruals, necessary for a fair presentation of our financial position and results of operations. The operating results for the three and six months ended June 30, 2025 are not necessarily indicative of the results expected for the full year ending December 31, 2025.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Seasonality affects our revenue, expenses and cash flows from operations. Revenue from professional services is generally higher in the first quarter of our calendar year as many of our customers file their Form 10-K in the first calendar quarter. Our sales and marketing expense also has some degree of seasonality. Sales and marketing expenses have historically been higher in the third quarter due to our annual user conference typically held in September. In addition, the timing of cash bonus payments to employees during the first and fourth calendar quarters may result in some seasonality in operating cash flow. The consolidated financial information should be read in conjunction with “Management’s Discussion and Analysis of Financial Condition and Results of Operations” contained in this report and the consolidated financial statements and notes included in the Company’s Annual Report on Form 10-K for the fiscal year ended December 31, 2024 filed with the SEC on February 25, 2025.</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unaudited consolidated financial statements include the accounts of Workiva Inc. and its wholly-owned subsidiaries. All intercompany accounts and transactions have been eliminated in consolidation.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 xml:space="preserve">Use of Estimates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preparation of consolidated financial statements in conformity with accounting principles generally accepted in the United States requires us to make estimates and assumptions that affect the amounts reported in the consolidated financial statements and accompanying notes. We base our estimates on historical experience and various other assumptions believed to be reasonable. These estimates include, but are not limited to, the allowance for doubtful accounts, the determination of the relative selling prices of our services, the measurement of material rights, health insurance claims incurred but not yet reported, valuation of available-for-sale marketable securities, useful lives of deferred contract costs, intangible assets and property and equipment, goodwill, income taxes, discount rates used in the valuation of right-of-use assets and lease liabilities, and certain assumptions used in the valuation of equity awards. While these estimates are based on our best knowledge of current events and actions that may affect us in the future, actual results may differ materially from these estimates.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Enactment of the One Big Beautiful Bill Act of 2025</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4, 2025, H.R. 1, commonly known as the One Big Beautiful Bill Act (the “OBBB”), was signed into law. This includes significant changes to the federal corporate tax provisions and extends certain otherwise expiring provisions of the 2017 Tax Cuts and Jobs Act. Among other things, the legislation reinstates expensing for domestic research and experimental expenditures, imposes new limitations on interest expense deductibility, and expands disallowed deductions for certain employee remuneration.</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ASC 740 Income Taxes</w:t>
      </w:r>
      <w:r>
        <w:rPr>
          <w:color w:val="000000"/>
        </w:rPr>
        <w:t xml:space="preserve"> </w:t>
      </w:r>
      <w:r>
        <w:rPr>
          <w:rFonts w:ascii="Times New Roman;serif" w:hAnsi="Times New Roman;serif"/>
          <w:b w:val="false"/>
          <w:color w:val="000000"/>
          <w:sz w:val="22"/>
        </w:rPr>
        <w:t>requires the effects of changes in tax rates and laws on deferred tax balances to be recognized in the period in which the relevant legislation is enacted. The OBBB was passed after the three-month period covered by this Quarterly Report on Form 10-Q and may affect our tax assets and liabilities in future periods. As of the date of this Quarterly Report on Form 10-Q, we are continuing to assess the potential impact of the OBBB.</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New Accounting Pronouncements Not Yet Adopted</w:t>
      </w:r>
    </w:p>
    <w:p>
      <w:pPr>
        <w:pStyle w:val="TextBody"/>
        <w:bidi w:val="0"/>
        <w:spacing w:lineRule="auto" w:line="288" w:before="120" w:after="120"/>
        <w:ind w:left="0" w:right="0" w:firstLine="720"/>
        <w:jc w:val="both"/>
        <w:rPr/>
      </w:pPr>
      <w:r>
        <w:rPr>
          <w:rFonts w:ascii="Times New Roman;serif" w:hAnsi="Times New Roman;serif"/>
          <w:b w:val="false"/>
          <w:color w:val="000000"/>
          <w:sz w:val="22"/>
        </w:rPr>
        <w:t xml:space="preserve">In December 2023, the FASB issued ASU 2023-09, </w:t>
      </w:r>
      <w:r>
        <w:rPr>
          <w:rFonts w:ascii="Times New Roman;serif" w:hAnsi="Times New Roman;serif"/>
          <w:b w:val="false"/>
          <w:i/>
          <w:color w:val="000000"/>
          <w:sz w:val="22"/>
        </w:rPr>
        <w:t>Income Taxes (Topic 740): Improvements to Income Tax Disclosures</w:t>
      </w:r>
      <w:r>
        <w:rPr>
          <w:rFonts w:ascii="Times New Roman;serif" w:hAnsi="Times New Roman;serif"/>
          <w:b w:val="false"/>
          <w:color w:val="000000"/>
          <w:sz w:val="22"/>
        </w:rPr>
        <w:t>, which expands disclosures in an entity’s income tax rate reconciliation table and regarding cash taxes paid both in the U.S. and foreign jurisdictions. The standard is effective for annual periods beginning after December 15, 2024, with early adoption permitted. We are currently assessing the effect of this update on our related disclosures and plan to adopt this update as effective during the annual period ending December 31, 2025.</w:t>
      </w:r>
    </w:p>
    <w:p>
      <w:pPr>
        <w:pStyle w:val="TextBody"/>
        <w:bidi w:val="0"/>
        <w:spacing w:lineRule="auto" w:line="288" w:before="120" w:after="120"/>
        <w:ind w:left="0" w:right="0" w:firstLine="720"/>
        <w:jc w:val="both"/>
        <w:rPr/>
      </w:pPr>
      <w:r>
        <w:rPr>
          <w:rFonts w:ascii="Times New Roman;serif" w:hAnsi="Times New Roman;serif"/>
          <w:b w:val="false"/>
          <w:color w:val="000000"/>
          <w:sz w:val="22"/>
        </w:rPr>
        <w:t>In November 2024, the FASB issued ASU 2024-03,</w:t>
      </w:r>
      <w:r>
        <w:rPr>
          <w:color w:val="000000"/>
        </w:rPr>
        <w:t xml:space="preserve"> </w:t>
      </w:r>
      <w:r>
        <w:rPr>
          <w:rFonts w:ascii="Times New Roman;serif" w:hAnsi="Times New Roman;serif"/>
          <w:b w:val="false"/>
          <w:i/>
          <w:color w:val="000000"/>
          <w:sz w:val="22"/>
        </w:rPr>
        <w:t>Income Statement - Reporting Comprehensive and Income - Expense Disaggregation Disclosures (Subtopic 220-40),</w:t>
      </w:r>
      <w:r>
        <w:rPr>
          <w:color w:val="000000"/>
        </w:rPr>
        <w:t xml:space="preserve"> </w:t>
      </w:r>
      <w:r>
        <w:rPr>
          <w:rFonts w:ascii="Times New Roman;serif" w:hAnsi="Times New Roman;serif"/>
          <w:b w:val="false"/>
          <w:color w:val="000000"/>
          <w:sz w:val="22"/>
        </w:rPr>
        <w:t>requiring public business entities (PBEs) to provide disaggregated disclosures of relevant income statement expenses. The amendments aim to improve financial reporting by enhancing transparency in the notes to financial statements, specifically regarding expense categories. The amendments in this update are effective for annual reporting periods beginning after December 15, 2026, and interim reporting periods beginning after December 15, 2027. We are assessing the effect of this update on our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color w:val="000000"/>
          <w:sz w:val="22"/>
        </w:rPr>
        <w:t>In November 2024, the FASB issued ASU 2024-04,</w:t>
      </w:r>
      <w:r>
        <w:rPr>
          <w:color w:val="000000"/>
        </w:rPr>
        <w:t xml:space="preserve"> </w:t>
      </w:r>
      <w:r>
        <w:rPr>
          <w:rFonts w:ascii="Times New Roman;serif" w:hAnsi="Times New Roman;serif"/>
          <w:b w:val="false"/>
          <w:i/>
          <w:color w:val="000000"/>
          <w:sz w:val="22"/>
        </w:rPr>
        <w:t>Induced Conversions of Convertible Debt Instruments,</w:t>
      </w:r>
      <w:r>
        <w:rPr>
          <w:color w:val="000000"/>
        </w:rPr>
        <w:t xml:space="preserve"> </w:t>
      </w:r>
      <w:r>
        <w:rPr>
          <w:rFonts w:ascii="Times New Roman;serif" w:hAnsi="Times New Roman;serif"/>
          <w:b w:val="false"/>
          <w:color w:val="000000"/>
          <w:sz w:val="22"/>
        </w:rPr>
        <w:t>which amends the guidance in ASC 470-20 for induced conversions of convertible debt instruments. The update clarifies the accounting treatment for debt conversion wherein inducement offers are made, regardless of whether the settlement is in equity, cash, or a combination of both. Previously, induced conversions were limited to equity settlements. The amendments in this update are effective for annual reporting periods beginning after December 15, 2025. We are assessing the effect of this update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2. Supplemental Consolidated Balance Sheet Information</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Accrued Expenses and Other Current Liabilities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 consisted of the following (in thousands):</w:t>
      </w:r>
    </w:p>
    <w:tbl>
      <w:tblPr>
        <w:tblW w:w="7180" w:type="dxa"/>
        <w:jc w:val="left"/>
        <w:tblInd w:w="0" w:type="dxa"/>
        <w:tblLayout w:type="fixed"/>
        <w:tblCellMar>
          <w:top w:w="28" w:type="dxa"/>
          <w:left w:w="28" w:type="dxa"/>
          <w:bottom w:w="28" w:type="dxa"/>
          <w:right w:w="28" w:type="dxa"/>
        </w:tblCellMar>
      </w:tblPr>
      <w:tblGrid>
        <w:gridCol w:w="1042"/>
        <w:gridCol w:w="917"/>
        <w:gridCol w:w="920"/>
        <w:gridCol w:w="320"/>
        <w:gridCol w:w="1254"/>
        <w:gridCol w:w="165"/>
        <w:gridCol w:w="109"/>
        <w:gridCol w:w="109"/>
        <w:gridCol w:w="109"/>
        <w:gridCol w:w="396"/>
        <w:gridCol w:w="1550"/>
        <w:gridCol w:w="289"/>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23,336 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employee contributions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9,638 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health insurance claims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liabilities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126,508 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3. Cash Equivalents and Marketable Securities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2025,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108"/>
        <w:gridCol w:w="922"/>
        <w:gridCol w:w="925"/>
        <w:gridCol w:w="253"/>
        <w:gridCol w:w="994"/>
        <w:gridCol w:w="130"/>
        <w:gridCol w:w="109"/>
        <w:gridCol w:w="109"/>
        <w:gridCol w:w="109"/>
        <w:gridCol w:w="398"/>
        <w:gridCol w:w="881"/>
        <w:gridCol w:w="206"/>
        <w:gridCol w:w="109"/>
        <w:gridCol w:w="109"/>
        <w:gridCol w:w="109"/>
        <w:gridCol w:w="403"/>
        <w:gridCol w:w="923"/>
        <w:gridCol w:w="210"/>
        <w:gridCol w:w="109"/>
        <w:gridCol w:w="109"/>
        <w:gridCol w:w="109"/>
        <w:gridCol w:w="329"/>
        <w:gridCol w:w="1293"/>
        <w:gridCol w:w="249"/>
      </w:tblGrid>
      <w:tr>
        <w:trPr/>
        <w:tc>
          <w:tcPr>
            <w:tcW w:w="11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165,852 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165,852 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277,242 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180,356 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704,565 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705,281 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175,825 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175,825 </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528,740 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529,456 </w:t>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 December 31, 2024,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108"/>
        <w:gridCol w:w="922"/>
        <w:gridCol w:w="925"/>
        <w:gridCol w:w="253"/>
        <w:gridCol w:w="994"/>
        <w:gridCol w:w="130"/>
        <w:gridCol w:w="109"/>
        <w:gridCol w:w="109"/>
        <w:gridCol w:w="109"/>
        <w:gridCol w:w="398"/>
        <w:gridCol w:w="881"/>
        <w:gridCol w:w="206"/>
        <w:gridCol w:w="109"/>
        <w:gridCol w:w="109"/>
        <w:gridCol w:w="109"/>
        <w:gridCol w:w="403"/>
        <w:gridCol w:w="923"/>
        <w:gridCol w:w="210"/>
        <w:gridCol w:w="109"/>
        <w:gridCol w:w="109"/>
        <w:gridCol w:w="109"/>
        <w:gridCol w:w="329"/>
        <w:gridCol w:w="1293"/>
        <w:gridCol w:w="249"/>
      </w:tblGrid>
      <w:tr>
        <w:trPr/>
        <w:tc>
          <w:tcPr>
            <w:tcW w:w="11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263,064 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661,834 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662,361 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147,774 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147,776 </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514,060 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514,585 </w:t>
            </w:r>
          </w:p>
        </w:tc>
        <w:tc>
          <w:tcPr>
            <w:tcW w:w="2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contractual maturities of the investments classified as marketable securities are as follows (in thousands):</w:t>
      </w:r>
    </w:p>
    <w:tbl>
      <w:tblPr>
        <w:tblW w:w="3809" w:type="dxa"/>
        <w:jc w:val="left"/>
        <w:tblInd w:w="0" w:type="dxa"/>
        <w:tblLayout w:type="fixed"/>
        <w:tblCellMar>
          <w:top w:w="28" w:type="dxa"/>
          <w:left w:w="28" w:type="dxa"/>
          <w:bottom w:w="28" w:type="dxa"/>
          <w:right w:w="28" w:type="dxa"/>
        </w:tblCellMar>
      </w:tblPr>
      <w:tblGrid>
        <w:gridCol w:w="734"/>
        <w:gridCol w:w="643"/>
        <w:gridCol w:w="648"/>
        <w:gridCol w:w="316"/>
        <w:gridCol w:w="1238"/>
        <w:gridCol w:w="230"/>
      </w:tblGrid>
      <w:tr>
        <w:trPr/>
        <w:tc>
          <w:tcPr>
            <w:tcW w:w="73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327,076 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two years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202,380 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529,456 </w:t>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gross unrealized losses and fair values for those cash equivalents and marketable securities that were in an unrealized loss position as of June 30, 2025, aggregated by investment category and the length of time that individual securities have been in a continuous loss position (in thousands):</w:t>
      </w:r>
    </w:p>
    <w:tbl>
      <w:tblPr>
        <w:tblW w:w="9463" w:type="dxa"/>
        <w:jc w:val="left"/>
        <w:tblInd w:w="0" w:type="dxa"/>
        <w:tblLayout w:type="fixed"/>
        <w:tblCellMar>
          <w:top w:w="28" w:type="dxa"/>
          <w:left w:w="28" w:type="dxa"/>
          <w:bottom w:w="28" w:type="dxa"/>
          <w:right w:w="28" w:type="dxa"/>
        </w:tblCellMar>
      </w:tblPr>
      <w:tblGrid>
        <w:gridCol w:w="1201"/>
        <w:gridCol w:w="1055"/>
        <w:gridCol w:w="1059"/>
        <w:gridCol w:w="211"/>
        <w:gridCol w:w="826"/>
        <w:gridCol w:w="109"/>
        <w:gridCol w:w="109"/>
        <w:gridCol w:w="109"/>
        <w:gridCol w:w="109"/>
        <w:gridCol w:w="386"/>
        <w:gridCol w:w="883"/>
        <w:gridCol w:w="201"/>
        <w:gridCol w:w="109"/>
        <w:gridCol w:w="109"/>
        <w:gridCol w:w="109"/>
        <w:gridCol w:w="296"/>
        <w:gridCol w:w="571"/>
        <w:gridCol w:w="152"/>
        <w:gridCol w:w="115"/>
        <w:gridCol w:w="115"/>
        <w:gridCol w:w="115"/>
        <w:gridCol w:w="413"/>
        <w:gridCol w:w="797"/>
        <w:gridCol w:w="304"/>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 months or greater</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do not believe the unrealized losses represent credit losses based on our evaluation of available evidence as of June 30, 2025, which includes an assessment of whether it is more likely than not we will be required to sell the investment before recovery of the investment's amortized cost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Times New Roman;serif" w:hAnsi="Times New Roman;serif"/>
          <w:b/>
          <w:color w:val="000000"/>
          <w:sz w:val="22"/>
        </w:rPr>
        <w:t>4.</w:t>
      </w:r>
      <w:r>
        <w:rPr>
          <w:color w:val="000000"/>
        </w:rPr>
        <w:t xml:space="preserve"> </w:t>
      </w:r>
      <w:r>
        <w:rPr>
          <w:rFonts w:ascii="Times New Roman;serif" w:hAnsi="Times New Roman;serif"/>
          <w:b/>
          <w:color w:val="000000"/>
          <w:sz w:val="22"/>
        </w:rPr>
        <w:t xml:space="preserve">Fair Value Measurements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determine the fair values of our financial instruments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 xml:space="preserve">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 </w:t>
      </w:r>
    </w:p>
    <w:p>
      <w:pPr>
        <w:pStyle w:val="TextBody"/>
        <w:bidi w:val="0"/>
        <w:spacing w:lineRule="auto" w:line="288" w:before="120" w:after="120"/>
        <w:ind w:left="0" w:right="0" w:hanging="1080"/>
        <w:jc w:val="both"/>
        <w:rPr>
          <w:rFonts w:ascii="Times New Roman;serif" w:hAnsi="Times New Roman;serif"/>
          <w:b w:val="false"/>
          <w:color w:val="000000"/>
          <w:sz w:val="22"/>
        </w:rPr>
      </w:pPr>
      <w:r>
        <w:rPr>
          <w:rFonts w:ascii="Times New Roman;serif" w:hAnsi="Times New Roman;serif"/>
          <w:b w:val="false"/>
          <w:color w:val="000000"/>
          <w:sz w:val="22"/>
        </w:rPr>
        <w:t xml:space="preserve">Level 1 - Inputs are unadjusted quoted prices in active markets for identical assets or liabilities.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2 - Inputs are quoted prices for similar assets and liabilities in active markets or inputs that are observable for the asset or liability, either directly or indirectly through market corroboration, for substantially the full term of the financial instrument.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3 - Inputs are unobservable inputs based on our assumptions.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Financial Assets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Cash equivalents primarily consist of AAA-rated money market funds with overnight liquidity and no stated maturities. We classified cash equivalents as Level 1 due to the short-term nature of these instruments and measured the fair value based on quoted prices in active markets for identical assets.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 available, our marketable securities are valued using quoted prices for identical instruments in active markets. If we are unable to value our marketable securities using quoted prices for identical instruments in active markets, we value our investments using broker reports that utilize quoted market prices for comparable instruments. We validate, on a sample basis, the derived prices provided by the brokers by comparing their assessment of the fair values of our investments against the fair values of the portfolio balances of another third-party professional pricing service. As of June 30, 2025, all of our marketable securities were valued using quoted prices for comparable instruments in active markets and are classified as Level 2.</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our valuation of our money market funds and marketable securities, we concluded that they are classified in either Level 1 or Level 2, and we have no financial assets measured using Level 3 inputs on a recurring basis. The following table presents information about our assets that are measured at fair value on a recurring basis using the above input categories (in thousands):</w:t>
      </w:r>
    </w:p>
    <w:tbl>
      <w:tblPr>
        <w:tblW w:w="10205" w:type="dxa"/>
        <w:jc w:val="left"/>
        <w:tblInd w:w="0" w:type="dxa"/>
        <w:tblLayout w:type="fixed"/>
        <w:tblCellMar>
          <w:top w:w="28" w:type="dxa"/>
          <w:left w:w="28" w:type="dxa"/>
          <w:bottom w:w="28" w:type="dxa"/>
          <w:right w:w="28" w:type="dxa"/>
        </w:tblCellMar>
      </w:tblPr>
      <w:tblGrid>
        <w:gridCol w:w="478"/>
        <w:gridCol w:w="408"/>
        <w:gridCol w:w="4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2"/>
        <w:gridCol w:w="831"/>
        <w:gridCol w:w="109"/>
        <w:gridCol w:w="109"/>
        <w:gridCol w:w="109"/>
        <w:gridCol w:w="109"/>
        <w:gridCol w:w="212"/>
        <w:gridCol w:w="831"/>
        <w:gridCol w:w="109"/>
        <w:gridCol w:w="109"/>
        <w:gridCol w:w="109"/>
        <w:gridCol w:w="109"/>
        <w:gridCol w:w="212"/>
        <w:gridCol w:w="831"/>
        <w:gridCol w:w="163"/>
      </w:tblGrid>
      <w:tr>
        <w:trPr/>
        <w:tc>
          <w:tcPr>
            <w:tcW w:w="47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 December 31, 2024</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2</w:t>
            </w:r>
          </w:p>
        </w:tc>
      </w:tr>
      <w:tr>
        <w:trPr/>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525,160 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Convertible Senior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2025, the fair value of our convertible senior notes due in 2026 and 2028 was $73.5 million and $651.7 million, respectively. The fair value was determined based on the quoted price of the convertible senior notes in an over-the-counter market on the last trading day of the reporting period and has been classified as Level 2 in the fair value hierarchy. See Note 5 to the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5. Convertible Senior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details of our convertible senior notes, which are further discussed below (original principal in thousands):</w:t>
      </w:r>
    </w:p>
    <w:tbl>
      <w:tblPr>
        <w:tblW w:w="10205" w:type="dxa"/>
        <w:jc w:val="left"/>
        <w:tblInd w:w="0" w:type="dxa"/>
        <w:tblLayout w:type="fixed"/>
        <w:tblCellMar>
          <w:top w:w="28" w:type="dxa"/>
          <w:left w:w="28" w:type="dxa"/>
          <w:bottom w:w="28" w:type="dxa"/>
          <w:right w:w="28" w:type="dxa"/>
        </w:tblCellMar>
      </w:tblPr>
      <w:tblGrid>
        <w:gridCol w:w="205"/>
        <w:gridCol w:w="180"/>
        <w:gridCol w:w="181"/>
        <w:gridCol w:w="109"/>
        <w:gridCol w:w="109"/>
        <w:gridCol w:w="109"/>
        <w:gridCol w:w="221"/>
        <w:gridCol w:w="221"/>
        <w:gridCol w:w="223"/>
        <w:gridCol w:w="109"/>
        <w:gridCol w:w="109"/>
        <w:gridCol w:w="109"/>
        <w:gridCol w:w="275"/>
        <w:gridCol w:w="275"/>
        <w:gridCol w:w="277"/>
        <w:gridCol w:w="109"/>
        <w:gridCol w:w="109"/>
        <w:gridCol w:w="109"/>
        <w:gridCol w:w="406"/>
        <w:gridCol w:w="406"/>
        <w:gridCol w:w="407"/>
        <w:gridCol w:w="109"/>
        <w:gridCol w:w="109"/>
        <w:gridCol w:w="109"/>
        <w:gridCol w:w="358"/>
        <w:gridCol w:w="358"/>
        <w:gridCol w:w="359"/>
        <w:gridCol w:w="109"/>
        <w:gridCol w:w="109"/>
        <w:gridCol w:w="109"/>
        <w:gridCol w:w="244"/>
        <w:gridCol w:w="922"/>
        <w:gridCol w:w="137"/>
        <w:gridCol w:w="109"/>
        <w:gridCol w:w="109"/>
        <w:gridCol w:w="109"/>
        <w:gridCol w:w="383"/>
        <w:gridCol w:w="383"/>
        <w:gridCol w:w="385"/>
        <w:gridCol w:w="109"/>
        <w:gridCol w:w="109"/>
        <w:gridCol w:w="109"/>
        <w:gridCol w:w="214"/>
        <w:gridCol w:w="710"/>
        <w:gridCol w:w="186"/>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Month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Free Convertibility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Redemption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Original Principal (including overallotment)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Initial 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Initial Conversion Price</w:t>
            </w:r>
          </w:p>
        </w:tc>
      </w:tr>
      <w:tr>
        <w:trPr/>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2019, we issued $345.0 million aggregate principal amount of 1.125% convertible senior notes due 2026 in a private placement to qualified institutional buyers pursuant to Rule 144A under the Securities Act of 1933, as amended, including the exercise in full by the initial purchasers of their option to purchase an additional $45.0 million principal amount (the "2026 Notes”). The 2026 Notes bear interest at a fixed rate of 1.125% per annum, payable semi-annually in arrears on February 15 and August 15 of each year, commencing on February 15, 2020. Proceeds from the issuance of the 2026 Notes totaled $335.9 million, net of initial purchaser discounts and issuance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2023, we issued $702.0 million aggregate principal amount of 1.250% convertible senior notes due 2028 in a private placement to qualified institutional buyers pursuant to Rule 144A under the Securities Act of 1933, as amended, including the partial exercise of 77.0 million principal amount by the initial purchasers of their option to purchase up to an additional $100 million principal amount (the "2028 Notes”). The 2028 Notes bear interest at a fixed rate of 1.250% per annum, payable semi-annually in arrears on February 15 and August 15 of each year, commencing on February 15, 2024. Proceeds from the issuance of the 2028 Notes totaled $691.1 million, net of initial purchaser discounts and issuance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2026 Notes and the 2028 Notes are together referred to as the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Notes were issued pursuant to an indenture and are senior, unsecured obligations of the Company. The 2028 Notes will rank equally with all of the Company’s existing and future senior unsecured indebtedness, including the Company’s outstanding 2026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Holders of the Notes may convert all or a portion of their Notes prior to the close of business on their respective Free Convertibility dates, in multiples of $1,000 principal amount, only under the following circumstances: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during any calendar quarter commencing after the calendar quarter in which the respective Notes were issued (and only during such calendar quarter), if the last reported sale price of our Class A common stock, par value $0.001 per share,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during the five consecutive business day period immediately following any ten consecutive trading day period (the “measurement period”) in which the trading price (as defined below) per $1,000 principal amount of Notes for each trading day of the measurement period was less than 98% of the product of the last reported sale price of our Class A common stock and the conversion rate on each such trading day;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if we call any or all of the Notes for redemption, at any time prior to the close of business on the scheduled trading day immediately preceding the redemption date; or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upon the occurrence of certain specified corporate events as set forth in the relevant indenture.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or after the relevant Free Convertibility Date, holders of the Notes may convert their Notes at any time until the close of business on the second scheduled trading day immediately preceding the maturity date of the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conversion, we will pay or deliver, as the case may be, cash, shares of our Class A common stock or a combination of cash and shares of our Class A common stock, at our election, in the manner and subject to the terms and conditions provided in the indenture.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redeem for cash all or any portion of the Notes, at its option, on or after the respective Redemption Date,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to, but excluding, the respective Redemption Date.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2025, the Free Convertibility Date for the 2026 Notes is less than one year from the balance sheet date and therefore the 2026 Notes are classified as current liabilities on the consolidated balance sheet. During the second quarter of 2025 none of the conversion conditions related to our 2028 Notes were met and therefore the 2028 Notes are not convertible at the option of the holders. As a result, the 2028 Notes were classified as non-current liabilities on the consolidated balance sheet as of June 30, 2025.</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expense representing the amortization of issuance costs as well as contractual interest expense is amortized to interest expense at an effective interest rate of 1.5% and 1.6% over the term of the 2026 Notes and 2028 Notes,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2025, the remaining life of the 2026 Notes and 2028 Notes were approximately 1.2 years and 3.2 years,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net carrying amount of the Notes was as follows (in thousands):</w:t>
      </w:r>
    </w:p>
    <w:tbl>
      <w:tblPr>
        <w:tblW w:w="7755" w:type="dxa"/>
        <w:jc w:val="left"/>
        <w:tblInd w:w="0" w:type="dxa"/>
        <w:tblLayout w:type="fixed"/>
        <w:tblCellMar>
          <w:top w:w="28" w:type="dxa"/>
          <w:left w:w="28" w:type="dxa"/>
          <w:bottom w:w="28" w:type="dxa"/>
          <w:right w:w="28" w:type="dxa"/>
        </w:tblCellMar>
      </w:tblPr>
      <w:tblGrid>
        <w:gridCol w:w="853"/>
        <w:gridCol w:w="748"/>
        <w:gridCol w:w="754"/>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 Notes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expense related to the Notes was as follows (in thousands):</w:t>
      </w:r>
    </w:p>
    <w:tbl>
      <w:tblPr>
        <w:tblW w:w="7851" w:type="dxa"/>
        <w:jc w:val="left"/>
        <w:tblInd w:w="0" w:type="dxa"/>
        <w:tblLayout w:type="fixed"/>
        <w:tblCellMar>
          <w:top w:w="28" w:type="dxa"/>
          <w:left w:w="28" w:type="dxa"/>
          <w:bottom w:w="28" w:type="dxa"/>
          <w:right w:w="28" w:type="dxa"/>
        </w:tblCellMar>
      </w:tblPr>
      <w:tblGrid>
        <w:gridCol w:w="939"/>
        <w:gridCol w:w="825"/>
        <w:gridCol w:w="831"/>
        <w:gridCol w:w="246"/>
        <w:gridCol w:w="718"/>
        <w:gridCol w:w="127"/>
        <w:gridCol w:w="127"/>
        <w:gridCol w:w="127"/>
        <w:gridCol w:w="127"/>
        <w:gridCol w:w="246"/>
        <w:gridCol w:w="718"/>
        <w:gridCol w:w="127"/>
        <w:gridCol w:w="109"/>
        <w:gridCol w:w="109"/>
        <w:gridCol w:w="109"/>
        <w:gridCol w:w="222"/>
        <w:gridCol w:w="650"/>
        <w:gridCol w:w="115"/>
        <w:gridCol w:w="115"/>
        <w:gridCol w:w="115"/>
        <w:gridCol w:w="115"/>
        <w:gridCol w:w="222"/>
        <w:gridCol w:w="650"/>
        <w:gridCol w:w="162"/>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6. Commitments and Contingencies </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Litigation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We evaluate the development of legal matters on a regular basis and accrue a liability when we believe a loss is probable and the amount can be reasonably estimated. Although the results of litigation and claims cannot be predicted with certainty, we currently believe that the final outcome of any currently pending legal proceedings to which we are a party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 xml:space="preserve">7. Stock-Based Compensation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grant stock-based incentive awards to attract, motivate and retain qualified employees, non-employee directors and consultants, and to align their financial interests with those of our stockholders. We utilize stock-based compensation in the form of restricted stock units, performance restricted stock units, options to purchase Class A common stock and Employee Stock Purchase Plan ("ESPP") purchase rights. Prior to our corporate conversion in December 2014, awards were provided under the 2009 Unit Incentive Plan (“the 2009 Plan”). The 2009 Plan was amended to provide that no further awards will be issued thereunder, and our board of directors and stockholders adopted and approved our 2014 Equity Incentive Plan ("the Plan"). As of December 31, 2024, there were no awards outstanding under the 2009 Plan.</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Stock-Based Compensation Expense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Stock-based compensation expense was recorded in the following cost and expense categories consistent with the respective employee or service provider’s related cash compensation (in thousands):</w:t>
      </w:r>
    </w:p>
    <w:tbl>
      <w:tblPr>
        <w:tblW w:w="7653" w:type="dxa"/>
        <w:jc w:val="left"/>
        <w:tblInd w:w="0" w:type="dxa"/>
        <w:tblLayout w:type="fixed"/>
        <w:tblCellMar>
          <w:top w:w="28" w:type="dxa"/>
          <w:left w:w="28" w:type="dxa"/>
          <w:bottom w:w="28" w:type="dxa"/>
          <w:right w:w="28" w:type="dxa"/>
        </w:tblCellMar>
      </w:tblPr>
      <w:tblGrid>
        <w:gridCol w:w="835"/>
        <w:gridCol w:w="736"/>
        <w:gridCol w:w="739"/>
        <w:gridCol w:w="224"/>
        <w:gridCol w:w="767"/>
        <w:gridCol w:w="116"/>
        <w:gridCol w:w="116"/>
        <w:gridCol w:w="116"/>
        <w:gridCol w:w="116"/>
        <w:gridCol w:w="224"/>
        <w:gridCol w:w="767"/>
        <w:gridCol w:w="116"/>
        <w:gridCol w:w="109"/>
        <w:gridCol w:w="109"/>
        <w:gridCol w:w="109"/>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Stock Options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option activity under the Plan for the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tbl>
      <w:tblPr>
        <w:tblW w:w="7232" w:type="dxa"/>
        <w:jc w:val="left"/>
        <w:tblInd w:w="0" w:type="dxa"/>
        <w:tblLayout w:type="fixed"/>
        <w:tblCellMar>
          <w:top w:w="28" w:type="dxa"/>
          <w:left w:w="28" w:type="dxa"/>
          <w:bottom w:w="28" w:type="dxa"/>
          <w:right w:w="28" w:type="dxa"/>
        </w:tblCellMar>
      </w:tblPr>
      <w:tblGrid>
        <w:gridCol w:w="1065"/>
        <w:gridCol w:w="935"/>
        <w:gridCol w:w="940"/>
        <w:gridCol w:w="449"/>
        <w:gridCol w:w="451"/>
        <w:gridCol w:w="256"/>
        <w:gridCol w:w="109"/>
        <w:gridCol w:w="109"/>
        <w:gridCol w:w="109"/>
        <w:gridCol w:w="220"/>
        <w:gridCol w:w="642"/>
        <w:gridCol w:w="113"/>
        <w:gridCol w:w="109"/>
        <w:gridCol w:w="109"/>
        <w:gridCol w:w="109"/>
        <w:gridCol w:w="414"/>
        <w:gridCol w:w="414"/>
        <w:gridCol w:w="416"/>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Contractual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Term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892,396 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2025</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Restricted Stock Units and Performance Restricted Stock Units</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restricted stock unit and performance restricted stock unit activity under the Plan for the six months ended June 30, 2025:</w:t>
      </w:r>
    </w:p>
    <w:tbl>
      <w:tblPr>
        <w:tblW w:w="6700" w:type="dxa"/>
        <w:jc w:val="left"/>
        <w:tblInd w:w="0" w:type="dxa"/>
        <w:tblLayout w:type="fixed"/>
        <w:tblCellMar>
          <w:top w:w="28" w:type="dxa"/>
          <w:left w:w="28" w:type="dxa"/>
          <w:bottom w:w="28" w:type="dxa"/>
          <w:right w:w="28" w:type="dxa"/>
        </w:tblCellMar>
      </w:tblPr>
      <w:tblGrid>
        <w:gridCol w:w="977"/>
        <w:gridCol w:w="858"/>
        <w:gridCol w:w="864"/>
        <w:gridCol w:w="539"/>
        <w:gridCol w:w="539"/>
        <w:gridCol w:w="541"/>
        <w:gridCol w:w="109"/>
        <w:gridCol w:w="109"/>
        <w:gridCol w:w="109"/>
        <w:gridCol w:w="442"/>
        <w:gridCol w:w="1291"/>
        <w:gridCol w:w="322"/>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Grant Date Fair Value</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2,723,666 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1,403,595 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(145,402)</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(801,549)</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2025</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3,180,310 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(1) During the six months ended June 30, 2025, in accordance with our Nonqualified Deferred Compensation Plan, recipients of 5,634 shares elected to defer settlement of their vested restricted stock units and 9,375 shares were released from deferral.</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Employee Stock Purchase Plan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six months ended June 30, 2025, 118,674 shares of common stock were purchased under the ESPP at a weighted-average price of $63.49 per share, resulting in cash proceeds of $7.5 million.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Compensation expense associated with ESPP purchase rights is recognized on a straight-line basis over the vesting period. As of June 30, 2025, there was approximately $0.2 million of total unrecognized compensation expense related to the ESPP, which is expected to be recognized over a weighted-average period of 14 days.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8. Revenue Recognition</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Disaggregation of Revenue</w:t>
      </w:r>
    </w:p>
    <w:p>
      <w:pPr>
        <w:pStyle w:val="TextBody"/>
        <w:bidi w:val="0"/>
        <w:spacing w:lineRule="auto" w:line="288" w:before="24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our revenue disaggregated by type of good or service (in thousands):</w:t>
      </w:r>
    </w:p>
    <w:tbl>
      <w:tblPr>
        <w:tblW w:w="7979" w:type="dxa"/>
        <w:jc w:val="left"/>
        <w:tblInd w:w="0" w:type="dxa"/>
        <w:tblLayout w:type="fixed"/>
        <w:tblCellMar>
          <w:top w:w="28" w:type="dxa"/>
          <w:left w:w="28" w:type="dxa"/>
          <w:bottom w:w="28" w:type="dxa"/>
          <w:right w:w="28" w:type="dxa"/>
        </w:tblCellMar>
      </w:tblPr>
      <w:tblGrid>
        <w:gridCol w:w="859"/>
        <w:gridCol w:w="754"/>
        <w:gridCol w:w="75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professional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left"/>
        <w:rPr>
          <w:rFonts w:ascii="Times New Roman;serif" w:hAnsi="Times New Roman;serif"/>
          <w:b/>
          <w:i/>
          <w:color w:val="000000"/>
          <w:sz w:val="22"/>
        </w:rPr>
      </w:pPr>
      <w:r>
        <w:rPr>
          <w:rFonts w:ascii="Times New Roman;serif" w:hAnsi="Times New Roman;serif"/>
          <w:b/>
          <w:i/>
          <w:color w:val="000000"/>
          <w:sz w:val="22"/>
        </w:rPr>
        <w:t>Deferred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recognized $178.0 million and $145.2 million of revenue during the three months ended June 30, 2025 and 2024, respectively, that was included in the deferred revenue balances at the beginning of the respective periods. We recognized $309.0 million and $254.5 million of revenue during the six months ended June 30, 2025 and 2024, respectively, that was included in the deferred revenue balances at the beginning of the respective periods.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Transaction Price Allocated to the Remaining Performance Obligations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2025, we expect revenue of approximately $1.2 billion to be recognized from remaining performance obligations for subscription contracts. We expect to recognize approximately $668.3 million of these remaining performance obligations over the next 12 months with the balance substantially recognized in the 24 months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9. Intangible Assets and Goodwill</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net intangible assets (in thousands):</w:t>
      </w:r>
    </w:p>
    <w:tbl>
      <w:tblPr>
        <w:tblW w:w="10205" w:type="dxa"/>
        <w:jc w:val="left"/>
        <w:tblInd w:w="0" w:type="dxa"/>
        <w:tblLayout w:type="fixed"/>
        <w:tblCellMar>
          <w:top w:w="28" w:type="dxa"/>
          <w:left w:w="28" w:type="dxa"/>
          <w:bottom w:w="28" w:type="dxa"/>
          <w:right w:w="28" w:type="dxa"/>
        </w:tblCellMar>
      </w:tblPr>
      <w:tblGrid>
        <w:gridCol w:w="581"/>
        <w:gridCol w:w="422"/>
        <w:gridCol w:w="288"/>
        <w:gridCol w:w="280"/>
        <w:gridCol w:w="280"/>
        <w:gridCol w:w="281"/>
        <w:gridCol w:w="109"/>
        <w:gridCol w:w="109"/>
        <w:gridCol w:w="109"/>
        <w:gridCol w:w="196"/>
        <w:gridCol w:w="646"/>
        <w:gridCol w:w="109"/>
        <w:gridCol w:w="109"/>
        <w:gridCol w:w="109"/>
        <w:gridCol w:w="109"/>
        <w:gridCol w:w="228"/>
        <w:gridCol w:w="770"/>
        <w:gridCol w:w="128"/>
        <w:gridCol w:w="109"/>
        <w:gridCol w:w="109"/>
        <w:gridCol w:w="109"/>
        <w:gridCol w:w="196"/>
        <w:gridCol w:w="646"/>
        <w:gridCol w:w="109"/>
        <w:gridCol w:w="109"/>
        <w:gridCol w:w="109"/>
        <w:gridCol w:w="109"/>
        <w:gridCol w:w="196"/>
        <w:gridCol w:w="646"/>
        <w:gridCol w:w="109"/>
        <w:gridCol w:w="109"/>
        <w:gridCol w:w="109"/>
        <w:gridCol w:w="109"/>
        <w:gridCol w:w="228"/>
        <w:gridCol w:w="770"/>
        <w:gridCol w:w="128"/>
        <w:gridCol w:w="109"/>
        <w:gridCol w:w="109"/>
        <w:gridCol w:w="109"/>
        <w:gridCol w:w="196"/>
        <w:gridCol w:w="646"/>
        <w:gridCol w:w="164"/>
      </w:tblGrid>
      <w:tr>
        <w:trPr/>
        <w:tc>
          <w:tcPr>
            <w:tcW w:w="5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Useful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(15,357)</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customer-related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trade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(23,548)</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(18,503)</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first quarter of the subsequent annual period in which an intangible asset becomes fully amortized, the gross carrying amount and accumulated amortization are removed from the preceding table.</w:t>
      </w:r>
    </w:p>
    <w:p>
      <w:pPr>
        <w:pStyle w:val="TextBody"/>
        <w:bidi w:val="0"/>
        <w:spacing w:lineRule="auto" w:line="288" w:before="120" w:after="120"/>
        <w:ind w:left="0" w:right="0" w:firstLine="720"/>
        <w:jc w:val="both"/>
        <w:rPr/>
      </w:pPr>
      <w:r>
        <w:rPr>
          <w:rFonts w:ascii="Times New Roman;serif" w:hAnsi="Times New Roman;serif"/>
          <w:b w:val="false"/>
          <w:color w:val="000000"/>
          <w:sz w:val="22"/>
        </w:rPr>
        <w:t>Amortization expense related to intangible assets was $2.0 million and $1.4 million</w:t>
      </w:r>
      <w:r>
        <w:rPr>
          <w:color w:val="000000"/>
        </w:rPr>
        <w:t xml:space="preserve"> </w:t>
      </w:r>
      <w:r>
        <w:rPr>
          <w:rFonts w:ascii="Times New Roman;serif" w:hAnsi="Times New Roman;serif"/>
          <w:b w:val="false"/>
          <w:color w:val="000000"/>
          <w:sz w:val="22"/>
        </w:rPr>
        <w:t>for the three months ended June 30, 2025 and 2024, respectively, and $3.9 million and $2.8 million for the six months ended June 30, 2025 and 2024,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2025, expected remaining amortization expense of intangible assets by fiscal year is as follows (in thousands):</w:t>
      </w:r>
    </w:p>
    <w:tbl>
      <w:tblPr>
        <w:tblW w:w="4206" w:type="dxa"/>
        <w:jc w:val="left"/>
        <w:tblInd w:w="0" w:type="dxa"/>
        <w:tblLayout w:type="fixed"/>
        <w:tblCellMar>
          <w:top w:w="28" w:type="dxa"/>
          <w:left w:w="28" w:type="dxa"/>
          <w:bottom w:w="28" w:type="dxa"/>
          <w:right w:w="28" w:type="dxa"/>
        </w:tblCellMar>
      </w:tblPr>
      <w:tblGrid>
        <w:gridCol w:w="1129"/>
        <w:gridCol w:w="992"/>
        <w:gridCol w:w="999"/>
        <w:gridCol w:w="211"/>
        <w:gridCol w:w="72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expected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changes in the carrying amount of goodwill were as follows (in thousands):</w:t>
      </w:r>
    </w:p>
    <w:tbl>
      <w:tblPr>
        <w:tblW w:w="4625" w:type="dxa"/>
        <w:jc w:val="left"/>
        <w:tblInd w:w="0" w:type="dxa"/>
        <w:tblLayout w:type="fixed"/>
        <w:tblCellMar>
          <w:top w:w="28" w:type="dxa"/>
          <w:left w:w="28" w:type="dxa"/>
          <w:bottom w:w="28" w:type="dxa"/>
          <w:right w:w="28" w:type="dxa"/>
        </w:tblCellMar>
      </w:tblPr>
      <w:tblGrid>
        <w:gridCol w:w="1243"/>
        <w:gridCol w:w="1092"/>
        <w:gridCol w:w="109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10. Net Loss Per Share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Net loss per share is allocated based on the contractual participation rights of the Class A and Class B common shares as if the loss for the year has been distributed. As the liquidation and dividend rights are identical, the net loss is allocated on a proportionate basis.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reconciliation of the denominator used in the calculation of basic and diluted loss per share is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671"/>
        <w:gridCol w:w="1470"/>
        <w:gridCol w:w="1487"/>
        <w:gridCol w:w="240"/>
        <w:gridCol w:w="841"/>
        <w:gridCol w:w="109"/>
        <w:gridCol w:w="109"/>
        <w:gridCol w:w="109"/>
        <w:gridCol w:w="109"/>
        <w:gridCol w:w="244"/>
        <w:gridCol w:w="732"/>
        <w:gridCol w:w="109"/>
        <w:gridCol w:w="109"/>
        <w:gridCol w:w="109"/>
        <w:gridCol w:w="109"/>
        <w:gridCol w:w="240"/>
        <w:gridCol w:w="841"/>
        <w:gridCol w:w="109"/>
        <w:gridCol w:w="109"/>
        <w:gridCol w:w="109"/>
        <w:gridCol w:w="109"/>
        <w:gridCol w:w="244"/>
        <w:gridCol w:w="732"/>
        <w:gridCol w:w="155"/>
      </w:tblGrid>
      <w:tr>
        <w:trPr/>
        <w:tc>
          <w:tcPr>
            <w:tcW w:w="167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71"/>
        <w:gridCol w:w="1470"/>
        <w:gridCol w:w="1487"/>
        <w:gridCol w:w="240"/>
        <w:gridCol w:w="841"/>
        <w:gridCol w:w="109"/>
        <w:gridCol w:w="109"/>
        <w:gridCol w:w="109"/>
        <w:gridCol w:w="109"/>
        <w:gridCol w:w="244"/>
        <w:gridCol w:w="732"/>
        <w:gridCol w:w="109"/>
        <w:gridCol w:w="109"/>
        <w:gridCol w:w="109"/>
        <w:gridCol w:w="109"/>
        <w:gridCol w:w="240"/>
        <w:gridCol w:w="841"/>
        <w:gridCol w:w="109"/>
        <w:gridCol w:w="109"/>
        <w:gridCol w:w="109"/>
        <w:gridCol w:w="109"/>
        <w:gridCol w:w="244"/>
        <w:gridCol w:w="732"/>
        <w:gridCol w:w="155"/>
      </w:tblGrid>
      <w:tr>
        <w:trPr/>
        <w:tc>
          <w:tcPr>
            <w:tcW w:w="167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4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51,200,924 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anti-dilutive securities excluded from the weighted-average shares used to calculate the diluted net loss per common share were as follows:</w:t>
      </w:r>
    </w:p>
    <w:tbl>
      <w:tblPr>
        <w:tblW w:w="10205" w:type="dxa"/>
        <w:jc w:val="left"/>
        <w:tblInd w:w="0" w:type="dxa"/>
        <w:tblLayout w:type="fixed"/>
        <w:tblCellMar>
          <w:top w:w="28" w:type="dxa"/>
          <w:left w:w="28" w:type="dxa"/>
          <w:bottom w:w="28" w:type="dxa"/>
          <w:right w:w="28" w:type="dxa"/>
        </w:tblCellMar>
      </w:tblPr>
      <w:tblGrid>
        <w:gridCol w:w="2523"/>
        <w:gridCol w:w="2216"/>
        <w:gridCol w:w="2222"/>
        <w:gridCol w:w="500"/>
        <w:gridCol w:w="476"/>
        <w:gridCol w:w="419"/>
        <w:gridCol w:w="109"/>
        <w:gridCol w:w="109"/>
        <w:gridCol w:w="109"/>
        <w:gridCol w:w="488"/>
        <w:gridCol w:w="488"/>
        <w:gridCol w:w="546"/>
      </w:tblGrid>
      <w:tr>
        <w:trPr/>
        <w:tc>
          <w:tcPr>
            <w:tcW w:w="2523"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6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6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2024</w:t>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common stock options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725,459 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1,174,354 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unvested restricted stock units and performance 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3,180,310 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2,505,323 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89,499 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96,271 </w:t>
            </w:r>
          </w:p>
        </w:tc>
        <w:tc>
          <w:tcPr>
            <w:tcW w:w="5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underlying our convertible senior notes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11. Geographic Information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chief operating decision maker is our Chief Executive Officer ("CEO"). Our CEO reviews financial information presented on a consolidated basis for purposes of allocating resources and evaluating financial performance. There are no segment managers who are held accountable by the chief operating decision maker, or anyone else, for operations, operating results and planning for levels or components below the consolidated unit level. Accordingly, we determined we have one operating and reportable segment. </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Revenue by geographical region consisted of the following (in thousands):</w:t>
      </w:r>
    </w:p>
    <w:tbl>
      <w:tblPr>
        <w:tblW w:w="8460" w:type="dxa"/>
        <w:jc w:val="left"/>
        <w:tblInd w:w="0" w:type="dxa"/>
        <w:tblLayout w:type="fixed"/>
        <w:tblCellMar>
          <w:top w:w="28" w:type="dxa"/>
          <w:left w:w="28" w:type="dxa"/>
          <w:bottom w:w="28" w:type="dxa"/>
          <w:right w:w="28" w:type="dxa"/>
        </w:tblCellMar>
      </w:tblPr>
      <w:tblGrid>
        <w:gridCol w:w="1033"/>
        <w:gridCol w:w="907"/>
        <w:gridCol w:w="91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Revenue by geography is generally based on the country of the customer as specified in our subscription order. Total Americas revenue attributed to the U.S. was approximately 92% and 93% during the three months ended June 30, 2025 and 2024, respectively, and 92% and 93% during the six months ended June 30, 2025 and 2024, respectively. No other country represented more than 10% of total revenue during the periods presented.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long-lived assets, which primarily consist of property and equipment and operating lease right-of-use assets, are attributed to a country based on the physical location of the assets. Aggregate long-lived assets by geographical region consisted of the following (in thousands):</w:t>
      </w:r>
    </w:p>
    <w:tbl>
      <w:tblPr>
        <w:tblW w:w="5172" w:type="dxa"/>
        <w:jc w:val="left"/>
        <w:tblInd w:w="0" w:type="dxa"/>
        <w:tblLayout w:type="fixed"/>
        <w:tblCellMar>
          <w:top w:w="28" w:type="dxa"/>
          <w:left w:w="28" w:type="dxa"/>
          <w:bottom w:w="28" w:type="dxa"/>
          <w:right w:w="28" w:type="dxa"/>
        </w:tblCellMar>
      </w:tblPr>
      <w:tblGrid>
        <w:gridCol w:w="315"/>
        <w:gridCol w:w="277"/>
        <w:gridCol w:w="279"/>
        <w:gridCol w:w="352"/>
        <w:gridCol w:w="1205"/>
        <w:gridCol w:w="182"/>
        <w:gridCol w:w="109"/>
        <w:gridCol w:w="109"/>
        <w:gridCol w:w="109"/>
        <w:gridCol w:w="434"/>
        <w:gridCol w:w="1484"/>
        <w:gridCol w:w="317"/>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2024</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32,849 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33,611 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our operations should be read in conjunction with the consolidated financial statements and related notes included elsewhere in this report and in our Annual Report on Form 10-K filed with the Securities and Exchange Commission on February 25, 2025. In addition to historical consolidated financial information, this discussion contains forward-looking statements that involve risks and uncertainties. Our actual results could differ materially from those discussed below. Factors that could cause or contribute to these differences include, but are not limited to, those identified below, and those discussed in “Item 1A. Risk Factors” of our Annual Report on Form 10-K for the year ended December 31, 2024, in “Item 1A. Risk Factors” in Part II of this Quarterly Report on Form 10-Q and in any subsequent filing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Workiva platform ensures transparency, accountability, and trust. Finance, accounting, sustainability, risk, and audit teams from more than 6,400 organizations worldwide, including more than 80% of FORTUNE® 1,000 companies, depend on Workiva for their mission-critical work. We build solutions that streamline processes, connect data and teams, and ensure consistency, all within our leading unified software-as-a-service (“SaaS”) platform. It brings financial reporting, sustainability management, and governance, risk, and compliance (“GRC”) together in a controlled, secure, and audit-ready environment.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data to disclosure, the Workiva platform empowers customers by connecting and transforming data from hundreds of enterprise resource planning (“ERP”), human capital management (“HCM”), and customer relationship management (“CRM”) systems, as well as other third-party cloud and on-premise applications. Customers use our platform to create, review and publish data-linked documents, presentations, and reports with greater control, consistency, accuracy, and productivity. Our platform is flexible and scalable, so customers can easily adapt it to define, automate, and change their business processes in real time.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While our customers use our platform for more than 100 different use cases, across dozens of vertical industries, we organize our sales and marketing resources into three purpose-built solution groups (financial reporting, sustainability management, and GRC) focusing primarily on the office of the Chief Financial Officer (“CFO”), Chief Sustainability Officer (“CSO”), and Chief Audit Executive (“CAE”).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operate our business on a SaaS model. Customers enter into annual and multi-year subscription contracts to gain access to our platform. Our subscription fee includes the use of our software and technical support. Our subscription pricing is based primarily on a solution-based licensing model. Under this model, operating metrics related to a customer’s expected use of each solution determine the price. We charge customers additional fees primarily for document setup and XBRL tagging services.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sales primarily through our direct sales force. In addition, we augment our direct sales channel with partnerships. Our advisory and service partners offer a wider range of domain and functional expertise that broadens the capabilities of our platform, bringing scale and support to customers and prospects. Our technology partners enable more data and process integrations to help customers connect critical transactional systems directly to our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continue to invest in the development of our solutions, infrastructure and sales and marketing to drive long-term growth. Our full-time employee headcount expanded to 2,896 at June 30, 2025 from 2,680 at June 30, 2024, an increase of 8.1%.</w:t>
      </w:r>
    </w:p>
    <w:p>
      <w:pPr>
        <w:pStyle w:val="TextBody"/>
        <w:bidi w:val="0"/>
        <w:spacing w:lineRule="auto" w:line="288" w:before="120" w:after="120"/>
        <w:ind w:left="0" w:right="0" w:firstLine="720"/>
        <w:jc w:val="both"/>
        <w:rPr/>
      </w:pPr>
      <w:r>
        <w:rPr>
          <w:rFonts w:ascii="Times New Roman;serif" w:hAnsi="Times New Roman;serif"/>
          <w:b w:val="false"/>
          <w:color w:val="000000"/>
          <w:sz w:val="22"/>
        </w:rPr>
        <w:t>We have achieved significant revenue growth in recent periods. Our revenue grew to $215.2 million and $421.5 million during the three and six months ended June 30, 2025 from $177.5 million and $353.2 million</w:t>
      </w:r>
      <w:r>
        <w:rPr>
          <w:color w:val="000000"/>
        </w:rPr>
        <w:t xml:space="preserve"> </w:t>
      </w:r>
      <w:r>
        <w:rPr>
          <w:rFonts w:ascii="Times New Roman;serif" w:hAnsi="Times New Roman;serif"/>
          <w:b w:val="false"/>
          <w:color w:val="000000"/>
          <w:sz w:val="22"/>
        </w:rPr>
        <w:t xml:space="preserve">during the three and six months ended June 30, 2024. We incurred net losses of $19.4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color w:val="000000"/>
          <w:sz w:val="22"/>
        </w:rPr>
        <w:t>million and $40.8 million during the three and six months ended June 30, 2025 compared to $17.5 million and $29.2 million</w:t>
      </w:r>
      <w:r>
        <w:rPr>
          <w:color w:val="000000"/>
        </w:rPr>
        <w:t xml:space="preserve"> </w:t>
      </w:r>
      <w:r>
        <w:rPr>
          <w:rFonts w:ascii="Times New Roman;serif" w:hAnsi="Times New Roman;serif"/>
          <w:b w:val="false"/>
          <w:color w:val="000000"/>
          <w:sz w:val="22"/>
        </w:rPr>
        <w:t>during the three and six months ended June 30, 2024.</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continue to invest for future growth and are focused on several key drivers, including focusing on multi-solution adoption by new and existing customers, further developing our partner program, accelerating international expansion and our fit-for-purpose solutions. These growth drivers often require a more sophisticated go-to-market approach and, as a result, we may incur additional costs upfront to obtain new customers and expand our relationships with existing customers, including additional sales and marketing expenses.</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Effects of Policy Uncertainty on Sales of Sustainability Solutions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of our sustainability management solutions have been, and may continue to be, materially impacted by domestic and global policy uncertainties. Shifts in regulatory priorities, market sentiment and legal challenges to sustainability-related rules and regulations are affecting our market expansion opportunities in the U.S. and abroad. For example, the European Union’s Corporate Sustainability Reporting Directive (“CSRD”) standards used to identify and collect sustainability information and data are still developing and uncertain. In particular, the CSRD's "stop-the-clock" directive delayed reporting requirements for Wave 2 and Wave 3 companies. This has delayed compliance obligations and requirements. The extent of this global policy uncertainty, and its potential impact on our growth trajectory, cannot be accurately predicted.</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Effects of Volatility in the IPO/SPAC Markets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In the U.S., volatility in the public markets has led to a decrease in the number of initial public offerings (“IPOs”) and special-purpose acquisition companies (“SPACs”) since fiscal 2022. New sales of our SEC and capital markets solutions were adversely affected by this decline in the IPO and SPAC markets. We expect reduced valuation multiples caused by higher interest rates, inflation, global trade conflicts, and geopolitical instability to continue to create uncertain impacts on the number of IPOs in fiscal year 2025. Whether and to what extent the IPO and SPAC markets will moderate cannot be accurately predicted.</w:t>
      </w:r>
      <w:r>
        <w:rPr>
          <w:color w:val="000000"/>
        </w:rPr>
        <w:t xml:space="preserve"> </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Key Factors Affecting Our Performance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Generate Growth From Existing Customers.</w:t>
      </w:r>
      <w:r>
        <w:rPr>
          <w:color w:val="000000"/>
        </w:rPr>
        <w:t xml:space="preserve"> </w:t>
      </w:r>
      <w:r>
        <w:rPr>
          <w:rFonts w:ascii="Times New Roman;serif" w:hAnsi="Times New Roman;serif"/>
          <w:b w:val="false"/>
          <w:color w:val="000000"/>
          <w:sz w:val="22"/>
        </w:rPr>
        <w:t>The Workiva platform can exhibit a powerful network effect within an enterprise, meaning that the usefulness of our platform attracts additional users. Since solution-based licensing offers our customers an unlimited number of seats for each solution purchased, we expect customers to add more seats over time. As more employees in an enterprise use our platform, additional opportunities for collaboration and automation drive demand among their colleagues for additional solutions.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Pursue New Customers</w:t>
      </w:r>
      <w:r>
        <w:rPr>
          <w:rFonts w:ascii="Times New Roman;serif" w:hAnsi="Times New Roman;serif"/>
          <w:b w:val="false"/>
          <w:color w:val="000000"/>
          <w:sz w:val="22"/>
        </w:rPr>
        <w:t>. We sell to organizations that manage large, complex processes with distributed teams of contributors and disparate sets of business data. We market our platform to professionals and executives in the areas of financial and non-financial reporting, including regulatory, multi-entity and management reporting. In addition, we market to teams responsible for sustainability management and GRC programs. We intend to continue to build our sales and marketing organization and leverage our brand equity to attract new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Offer More Solutions. </w:t>
      </w:r>
      <w:r>
        <w:rPr>
          <w:rFonts w:ascii="Times New Roman;serif" w:hAnsi="Times New Roman;serif"/>
          <w:b w:val="false"/>
          <w:color w:val="000000"/>
          <w:sz w:val="22"/>
        </w:rPr>
        <w:t>We intend to introduce new solutions to continue to meet growing demand for our platform. Our close and trusted relationships with our customers are a source for new use cases, features and solutions. We have a disciplined process for tracking, developing and releasing new solutions that are designed to have immediate, broad applicability, together with a strong value proposition and high return on investment for both Workiva and our customers. Our advance planning team assesses customer needs, conducts industry-based research and defines new markets. This vetting process involves our sales, product marketing, customer success, professional services, research and development, finance and senior management teams.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Expand Across Enterprises. </w:t>
      </w:r>
      <w:r>
        <w:rPr>
          <w:rFonts w:ascii="Times New Roman;serif" w:hAnsi="Times New Roman;serif"/>
          <w:b w:val="false"/>
          <w:color w:val="000000"/>
          <w:sz w:val="22"/>
        </w:rPr>
        <w:t>Our success in delivering multiple solutions has created demand from customers for a broader-based, enterprise-wide Workiva platform. In response, we have been improving our technology and realigning sales and marketing to capitalize on our growing enterprise-wide opportunities. We believe this expansion will add new users, increase revenue and continue to support our high revenue retention rates. However, we expect that enterprise-wide deals will be larger and more complex, which tend to lengthen the sales cycle.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Add Partners.</w:t>
      </w:r>
      <w:r>
        <w:rPr>
          <w:color w:val="000000"/>
        </w:rPr>
        <w:t xml:space="preserve"> </w:t>
      </w:r>
      <w:r>
        <w:rPr>
          <w:rFonts w:ascii="Times New Roman;serif" w:hAnsi="Times New Roman;serif"/>
          <w:b w:val="false"/>
          <w:color w:val="000000"/>
          <w:sz w:val="22"/>
        </w:rPr>
        <w:t>We continue to expand and deepen our relationships with global and regional partners, including consulting firms, system integrators, large and mid-sized independent software vendors, and implementation partners. Our advisory and service partners offer a wider range of domain and functional expertise that broadens our platform’s capabilities and promotes Workiva as part of the digital transformation projects they drive for their customers. Our technology partners enable powerful data and process integrations to help customers connect critical transactional systems directly to our platform, with powerful linking, auditability and control features. We believe that our partner ecosystem extends our global reach, accelerates the usage and adoption of our platform, and enables more efficient delivery of professional services.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Investment in growth</w:t>
      </w:r>
      <w:r>
        <w:rPr>
          <w:rFonts w:ascii="Times New Roman;serif" w:hAnsi="Times New Roman;serif"/>
          <w:b w:val="false"/>
          <w:color w:val="000000"/>
          <w:sz w:val="22"/>
        </w:rPr>
        <w:t>. We plan to continue to invest in the development of our platform, fit-for-purpose solutions and application marketplace to enhance our current offerings and build new features. In addition, we expect to continue to invest in our sales, marketing, professional services and customer success organizations to drive additional revenue and support the needs of our growing customer base and to take advantage of opportunities that we have identified in Europe, the Middle East and Africa ("EMEA") and Asia-Pacific ("APAC") regions.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Seasonality.</w:t>
      </w:r>
      <w:r>
        <w:rPr>
          <w:color w:val="000000"/>
        </w:rPr>
        <w:t xml:space="preserve"> </w:t>
      </w:r>
      <w:r>
        <w:rPr>
          <w:rFonts w:ascii="Times New Roman;serif" w:hAnsi="Times New Roman;serif"/>
          <w:b w:val="false"/>
          <w:color w:val="000000"/>
          <w:sz w:val="22"/>
        </w:rPr>
        <w:t>Our revenue from professional services has some degree of seasonality. Many of our customers employ our professional services just before they file their Form 10-K, often in the first calendar quarter. Our sales and marketing expense also has some degree of seasonality. Sales and marketing expenses have historically been higher in the third quarter due to our annual user conference typically held in September. In addition, the timing of the payments of cash bonuses to employees during the first and fourth calendar quarters may result in some seasonality in operating cash flow.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Key Performance Indicators</w:t>
      </w:r>
    </w:p>
    <w:tbl>
      <w:tblPr>
        <w:tblW w:w="10205" w:type="dxa"/>
        <w:jc w:val="left"/>
        <w:tblInd w:w="0" w:type="dxa"/>
        <w:tblLayout w:type="fixed"/>
        <w:tblCellMar>
          <w:top w:w="28" w:type="dxa"/>
          <w:left w:w="28" w:type="dxa"/>
          <w:bottom w:w="28" w:type="dxa"/>
          <w:right w:w="28" w:type="dxa"/>
        </w:tblCellMar>
      </w:tblPr>
      <w:tblGrid>
        <w:gridCol w:w="1458"/>
        <w:gridCol w:w="1240"/>
        <w:gridCol w:w="1247"/>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458"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metrics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353,170 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increase in total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315,714 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increase in subscription and support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as a percent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645" w:type="dxa"/>
        <w:jc w:val="center"/>
        <w:tblInd w:w="0" w:type="dxa"/>
        <w:tblLayout w:type="fixed"/>
        <w:tblCellMar>
          <w:top w:w="28" w:type="dxa"/>
          <w:left w:w="28" w:type="dxa"/>
          <w:bottom w:w="28" w:type="dxa"/>
          <w:right w:w="28" w:type="dxa"/>
        </w:tblCellMar>
      </w:tblPr>
      <w:tblGrid>
        <w:gridCol w:w="1707"/>
        <w:gridCol w:w="1499"/>
        <w:gridCol w:w="1504"/>
        <w:gridCol w:w="243"/>
        <w:gridCol w:w="243"/>
        <w:gridCol w:w="249"/>
        <w:gridCol w:w="140"/>
        <w:gridCol w:w="140"/>
        <w:gridCol w:w="140"/>
        <w:gridCol w:w="228"/>
        <w:gridCol w:w="228"/>
        <w:gridCol w:w="324"/>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metrics</w:t>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6,467</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6,147</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retention rate</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97.6%</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retention rate</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113.7%</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109.2%</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$100k+</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1,768</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$300k+</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488</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356</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$500k+</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w:t>
            </w:r>
          </w:p>
        </w:tc>
      </w:tr>
    </w:tbl>
    <w:p>
      <w:pPr>
        <w:pStyle w:val="TextBody"/>
        <w:bidi w:val="0"/>
        <w:spacing w:lineRule="auto" w:line="288" w:before="120" w:after="120"/>
        <w:ind w:left="0" w:right="0" w:firstLine="720"/>
        <w:jc w:val="both"/>
        <w:rPr/>
      </w:pPr>
      <w:r>
        <w:rPr>
          <w:rFonts w:ascii="Times New Roman;serif" w:hAnsi="Times New Roman;serif"/>
          <w:b w:val="false"/>
          <w:i/>
          <w:color w:val="000000"/>
          <w:sz w:val="22"/>
        </w:rPr>
        <w:t>Total customers</w:t>
      </w:r>
      <w:r>
        <w:rPr>
          <w:rFonts w:ascii="Times New Roman;serif" w:hAnsi="Times New Roman;serif"/>
          <w:b w:val="false"/>
          <w:color w:val="000000"/>
          <w:sz w:val="22"/>
        </w:rPr>
        <w:t>. We believe total number of customers is a key indicator of our financial success and future revenue potential. We define a customer as an entity with an active subscription contract as of the measurement date. We define a customer as a separate and distinct buying entity, such as a company, a government institution, or a distinct business unit of a large company that has an active contract with us or one of our partners to access our platforms. Companies with publicly-listed securities account for a majority of our customers. As customers acquired through our Sustain.Life acquisition in 2024 renew their contracts with Workiva, they are added to our customer count above.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Gross retention rate. </w:t>
      </w:r>
      <w:r>
        <w:rPr>
          <w:rFonts w:ascii="Times New Roman;serif" w:hAnsi="Times New Roman;serif"/>
          <w:b w:val="false"/>
          <w:color w:val="000000"/>
          <w:sz w:val="22"/>
        </w:rPr>
        <w:t>Our gross retention rate is based on subscription and support revenue. We calculate our gross retention rate based on all customers that were active at the end of the same calendar quarter of the prior year (“base customers”). We begin by annualizing the subscription and support revenue recorded in the same calendar quarter of the prior year for those base customers who are still active at the end of the current quarter. We divide the result by the annualized subscription and support revenue in the same quarter of the prior year for all base customers. We believe gross retention rates are an important metric to track how the Company retains its base revenue for each year.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gross retention rate was 97.5% as of June 30, 2025, down marginally from 97.6% as of June 30, 2024. We believe that our success in maintaining a high rate of revenue retention is attributable primarily to our robust technology platform and strong customer service. Customers whose securities were deregistered due to merger or acquisition or financial distress accounted for over half of our revenue attrition in the latest quarter.</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Net retention rate.</w:t>
      </w:r>
      <w:r>
        <w:rPr>
          <w:color w:val="000000"/>
        </w:rPr>
        <w:t xml:space="preserve"> </w:t>
      </w:r>
      <w:r>
        <w:rPr>
          <w:rFonts w:ascii="Times New Roman;serif" w:hAnsi="Times New Roman;serif"/>
          <w:b w:val="false"/>
          <w:color w:val="000000"/>
          <w:sz w:val="22"/>
        </w:rPr>
        <w:t xml:space="preserve">Our net retention rate is based on subscription and support revenue, and includes revenue from up-selling or cross-selling additional solutions, and pricing changes for existing customers and securing multi-year contract renewals containing periodic pricing term increases. We calculate our net retention rate by annualizing the subscription and support revenue recorded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current quarter for our base customers that were active at the end of the current quarter. We divide the result by the annualized subscription and support revenue in the same quarter of the prior year for all base customers. We believe our net retention rate is an important metric to measure the long-term value of customer agreements and our ability to retain our customers.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net retention rate including add-ons was 113.7% as of the quarter ended June 30, 2025, up from 109.2% as of June 30, 2024.</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Annual contract value</w:t>
      </w:r>
      <w:r>
        <w:rPr>
          <w:rFonts w:ascii="Times New Roman;serif" w:hAnsi="Times New Roman;serif"/>
          <w:b w:val="false"/>
          <w:color w:val="000000"/>
          <w:sz w:val="22"/>
        </w:rPr>
        <w:t>. Our annual contract value (“ACV”) for each customer is calculated by annualizing the subscription and support revenue recognized during each quarter. We believe the increase in the number of larger contracts shows our progress in expanding our customers’ adoption of our platform. As customers acquired through our Sustain.Life acquisition in 2024 renew their contracts with Workiva, they are incorporated into our ACV metrics in the following table.</w:t>
      </w:r>
    </w:p>
    <w:tbl>
      <w:tblPr>
        <w:tblW w:w="10205" w:type="dxa"/>
        <w:jc w:val="left"/>
        <w:tblInd w:w="0" w:type="dxa"/>
        <w:tblLayout w:type="fixed"/>
        <w:tblCellMar>
          <w:top w:w="28" w:type="dxa"/>
          <w:left w:w="28" w:type="dxa"/>
          <w:bottom w:w="28" w:type="dxa"/>
          <w:right w:w="28" w:type="dxa"/>
        </w:tblCellMar>
      </w:tblPr>
      <w:tblGrid>
        <w:gridCol w:w="2201"/>
        <w:gridCol w:w="1933"/>
        <w:gridCol w:w="1938"/>
        <w:gridCol w:w="285"/>
        <w:gridCol w:w="204"/>
        <w:gridCol w:w="192"/>
        <w:gridCol w:w="192"/>
        <w:gridCol w:w="192"/>
        <w:gridCol w:w="192"/>
        <w:gridCol w:w="285"/>
        <w:gridCol w:w="204"/>
        <w:gridCol w:w="192"/>
        <w:gridCol w:w="109"/>
        <w:gridCol w:w="109"/>
        <w:gridCol w:w="109"/>
        <w:gridCol w:w="251"/>
        <w:gridCol w:w="206"/>
        <w:gridCol w:w="175"/>
        <w:gridCol w:w="175"/>
        <w:gridCol w:w="175"/>
        <w:gridCol w:w="175"/>
        <w:gridCol w:w="251"/>
        <w:gridCol w:w="206"/>
        <w:gridCol w:w="254"/>
      </w:tblGrid>
      <w:tr>
        <w:trPr/>
        <w:tc>
          <w:tcPr>
            <w:tcW w:w="2201"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6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$100k+ as a percent of total subscription and support revenue</w:t>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76.3%</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75.2%</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69.4%</w:t>
            </w:r>
          </w:p>
        </w:tc>
      </w:tr>
      <w:tr>
        <w:trPr/>
        <w:tc>
          <w:tcPr>
            <w:tcW w:w="6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$300k+ as a percent of total subscription and support revenue</w:t>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34.5%</w:t>
            </w:r>
          </w:p>
        </w:tc>
      </w:tr>
      <w:tr>
        <w:trPr/>
        <w:tc>
          <w:tcPr>
            <w:tcW w:w="6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$500k+ as a percent of total subscription and support revenue</w:t>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26.6%</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26.3%</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w:t>
            </w:r>
          </w:p>
        </w:tc>
      </w:tr>
    </w:tbl>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Components of Results of Operations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revenue through the sale of subscriptions to our cloud-based software and the delivery of professional services. We serve a wide range of customers in many industries, and our revenue is not concentrated with any single customer or small group of customers. For the six months ended June 30, 2025 and 2024, no single customer represented more than 1% of our revenue, and our largest 10 customers accounted for less than 10% of our revenue in the aggregate.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sales directly through our sales force and partners. We also identify some sales opportunities with existing customers through our customer success and professional services teams.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customer contracts typically range in length from one year to three years. We typically invoice our customers for subscription fees annually in advance. For contracts with a two or three year term, customers sometimes elect to pay the entire multi-year subscription term in advance. Our arrangements do not contain general rights of return. </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Subscription and Support Revenue</w:t>
      </w:r>
      <w:r>
        <w:rPr>
          <w:rFonts w:ascii="Times New Roman;serif" w:hAnsi="Times New Roman;serif"/>
          <w:b w:val="false"/>
          <w:color w:val="000000"/>
          <w:sz w:val="22"/>
        </w:rPr>
        <w:t>. We recognize subscription and support revenue on a ratable basis over the contract term beginning on the date that our service is made available to the customer. Amounts that are invoiced are initially recorded as deferred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Professional Services Revenue</w:t>
      </w:r>
      <w:r>
        <w:rPr>
          <w:rFonts w:ascii="Times New Roman;serif" w:hAnsi="Times New Roman;serif"/>
          <w:b w:val="false"/>
          <w:color w:val="000000"/>
          <w:sz w:val="22"/>
        </w:rPr>
        <w:t>. We believe our professional services facilitate the sale of our subscription service to certain customers. To date, most of our professional services have consisted of document set up, XBRL tagging, and consulting to help our customers with business processes and best practices for using our platform. Our professional services are not required for customers to utilize our solution. We recognize revenue for document set up when the service is complete and control has transferred to the customer. Revenue from XBRL tagging and consulting services are recognized as the services are performed.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Cost of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Cost of revenue consists primarily of personnel and related costs directly associated with our professional services, customer success teams and training personnel, including salaries, benefits, bonuses, travel, and stock-based compensation; the costs of contracted third-party vendors; the costs of third-party hosting fees for server usage by our customers; information technology costs; and facility costs.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Sales and Marketing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consist primarily of personnel and related costs, including salaries, benefits, bonuses, commissions, travel, and stock-based compensation. Other costs included in this expense are marketing and promotional events, our annual user conference, online marketing, product marketing, information technology costs, and facility costs. We pay sales commissions for initial contracts and expansions of existing customer contracts. When the relevant amortization period is one year or less, we expense sales commissions as incurred. All other sales commissions are considered incremental costs of obtaining a contract with a customer and are deferred and amortized on a straight-line basis over a period of benefit that we have determined to be three years.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Research and Development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consist primarily of personnel and related costs, including salaries, benefits, bonuses, travel, and stock-based compensation; costs of third-party hosting fees for server usage by our developers; information technology costs; and facility costs.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General and Administrative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 and administrative expenses consist primarily of personnel and related costs for our executive, finance and accounting, legal, human resources, and administrative personnel, including salaries, benefits, bonuses, travel, and stock-based compensation; legal, accounting, and other professional service fees; other corporate expenses; information technology costs; and facility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lineRule="auto" w:line="276"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selected consolidated statement of operations data for each of the periods indicated:</w:t>
      </w:r>
    </w:p>
    <w:tbl>
      <w:tblPr>
        <w:tblW w:w="8864" w:type="dxa"/>
        <w:jc w:val="left"/>
        <w:tblInd w:w="0" w:type="dxa"/>
        <w:tblLayout w:type="fixed"/>
        <w:tblCellMar>
          <w:top w:w="28" w:type="dxa"/>
          <w:left w:w="28" w:type="dxa"/>
          <w:bottom w:w="28" w:type="dxa"/>
          <w:right w:w="28" w:type="dxa"/>
        </w:tblCellMar>
      </w:tblPr>
      <w:tblGrid>
        <w:gridCol w:w="1174"/>
        <w:gridCol w:w="1036"/>
        <w:gridCol w:w="104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Subscription and support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services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Stock-based compensation expense included in these line items was as follows:</w:t>
      </w:r>
    </w:p>
    <w:tbl>
      <w:tblPr>
        <w:tblW w:w="8793" w:type="dxa"/>
        <w:jc w:val="left"/>
        <w:tblInd w:w="0" w:type="dxa"/>
        <w:tblLayout w:type="fixed"/>
        <w:tblCellMar>
          <w:top w:w="28" w:type="dxa"/>
          <w:left w:w="28" w:type="dxa"/>
          <w:bottom w:w="28" w:type="dxa"/>
          <w:right w:w="28" w:type="dxa"/>
        </w:tblCellMar>
      </w:tblPr>
      <w:tblGrid>
        <w:gridCol w:w="1247"/>
        <w:gridCol w:w="1099"/>
        <w:gridCol w:w="1104"/>
        <w:gridCol w:w="224"/>
        <w:gridCol w:w="767"/>
        <w:gridCol w:w="116"/>
        <w:gridCol w:w="116"/>
        <w:gridCol w:w="116"/>
        <w:gridCol w:w="116"/>
        <w:gridCol w:w="224"/>
        <w:gridCol w:w="767"/>
        <w:gridCol w:w="116"/>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our consolidated statement of operations data as a percentage of revenue for each of the periods indicated:</w:t>
      </w:r>
    </w:p>
    <w:tbl>
      <w:tblPr>
        <w:tblW w:w="9353" w:type="dxa"/>
        <w:jc w:val="left"/>
        <w:tblInd w:w="0" w:type="dxa"/>
        <w:tblLayout w:type="fixed"/>
        <w:tblCellMar>
          <w:top w:w="28" w:type="dxa"/>
          <w:left w:w="28" w:type="dxa"/>
          <w:bottom w:w="28" w:type="dxa"/>
          <w:right w:w="28" w:type="dxa"/>
        </w:tblCellMar>
      </w:tblPr>
      <w:tblGrid>
        <w:gridCol w:w="1174"/>
        <w:gridCol w:w="1036"/>
        <w:gridCol w:w="1044"/>
        <w:gridCol w:w="352"/>
        <w:gridCol w:w="264"/>
        <w:gridCol w:w="532"/>
        <w:gridCol w:w="214"/>
        <w:gridCol w:w="214"/>
        <w:gridCol w:w="214"/>
        <w:gridCol w:w="352"/>
        <w:gridCol w:w="264"/>
        <w:gridCol w:w="532"/>
        <w:gridCol w:w="109"/>
        <w:gridCol w:w="109"/>
        <w:gridCol w:w="109"/>
        <w:gridCol w:w="352"/>
        <w:gridCol w:w="264"/>
        <w:gridCol w:w="475"/>
        <w:gridCol w:w="191"/>
        <w:gridCol w:w="191"/>
        <w:gridCol w:w="191"/>
        <w:gridCol w:w="352"/>
        <w:gridCol w:w="264"/>
        <w:gridCol w:w="554"/>
      </w:tblGrid>
      <w:tr>
        <w:trPr/>
        <w:tc>
          <w:tcPr>
            <w:tcW w:w="117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 xml:space="preserve">Comparison of Three and Six Months Ended June 30, 2025 and 2024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Revenue</w:t>
      </w:r>
    </w:p>
    <w:tbl>
      <w:tblPr>
        <w:tblW w:w="10205" w:type="dxa"/>
        <w:jc w:val="left"/>
        <w:tblInd w:w="0" w:type="dxa"/>
        <w:tblLayout w:type="fixed"/>
        <w:tblCellMar>
          <w:top w:w="28" w:type="dxa"/>
          <w:left w:w="28" w:type="dxa"/>
          <w:bottom w:w="28" w:type="dxa"/>
          <w:right w:w="28" w:type="dxa"/>
        </w:tblCellMar>
      </w:tblPr>
      <w:tblGrid>
        <w:gridCol w:w="667"/>
        <w:gridCol w:w="588"/>
        <w:gridCol w:w="593"/>
        <w:gridCol w:w="211"/>
        <w:gridCol w:w="826"/>
        <w:gridCol w:w="109"/>
        <w:gridCol w:w="109"/>
        <w:gridCol w:w="109"/>
        <w:gridCol w:w="109"/>
        <w:gridCol w:w="211"/>
        <w:gridCol w:w="826"/>
        <w:gridCol w:w="109"/>
        <w:gridCol w:w="109"/>
        <w:gridCol w:w="109"/>
        <w:gridCol w:w="109"/>
        <w:gridCol w:w="330"/>
        <w:gridCol w:w="330"/>
        <w:gridCol w:w="331"/>
        <w:gridCol w:w="109"/>
        <w:gridCol w:w="109"/>
        <w:gridCol w:w="109"/>
        <w:gridCol w:w="109"/>
        <w:gridCol w:w="211"/>
        <w:gridCol w:w="826"/>
        <w:gridCol w:w="109"/>
        <w:gridCol w:w="109"/>
        <w:gridCol w:w="109"/>
        <w:gridCol w:w="109"/>
        <w:gridCol w:w="211"/>
        <w:gridCol w:w="826"/>
        <w:gridCol w:w="109"/>
        <w:gridCol w:w="109"/>
        <w:gridCol w:w="109"/>
        <w:gridCol w:w="109"/>
        <w:gridCol w:w="303"/>
        <w:gridCol w:w="303"/>
        <w:gridCol w:w="432"/>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38" w:type="dxa"/>
            <w:gridSpan w:val="3"/>
            <w:tcBorders/>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21.5%</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19.3%</w:t>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Total revenue increased $37.7 million for the three months ended June 30, 2025 compared to the same quarter a year ago due primarily to a $37.5 million increase in subscription and support revenue. Growth in subscription and support revenue in the second quarter was attributable mainly to strong demand and continued solution expansion across our customer base. Revenue from professional services increased $0.2 million for the three months ended June 30, 2025 compared to the same quarter a year ago.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color w:val="000000"/>
          <w:sz w:val="22"/>
        </w:rPr>
        <w:t>Total revenue increased $68.3 million for the six months ended June 30, 2025 compared to the same period a year ago due primarily to a $68.0 million increase in subscription and support revenue. Growth in subscription and support revenue was attributable mainly to strong demand and continued solution expansion across our customer base. Revenue from professional services increased $0.3 million</w:t>
      </w:r>
      <w:r>
        <w:rPr>
          <w:color w:val="000000"/>
        </w:rPr>
        <w:t xml:space="preserve"> </w:t>
      </w:r>
      <w:r>
        <w:rPr>
          <w:rFonts w:ascii="Times New Roman;serif" w:hAnsi="Times New Roman;serif"/>
          <w:b w:val="false"/>
          <w:color w:val="000000"/>
          <w:sz w:val="22"/>
        </w:rPr>
        <w:t>for the six months ended June 30, 2025 compared to the same period a year ago. We continue to transition consulting and other services to our partners and expect the revenue growth rate from subscription and support to continue to outpace revenue growth from professional services on an annual basis.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Cost of Revenue</w:t>
      </w:r>
    </w:p>
    <w:tbl>
      <w:tblPr>
        <w:tblW w:w="10205" w:type="dxa"/>
        <w:jc w:val="left"/>
        <w:tblInd w:w="0" w:type="dxa"/>
        <w:tblLayout w:type="fixed"/>
        <w:tblCellMar>
          <w:top w:w="28" w:type="dxa"/>
          <w:left w:w="28" w:type="dxa"/>
          <w:bottom w:w="28" w:type="dxa"/>
          <w:right w:w="28" w:type="dxa"/>
        </w:tblCellMar>
      </w:tblPr>
      <w:tblGrid>
        <w:gridCol w:w="770"/>
        <w:gridCol w:w="677"/>
        <w:gridCol w:w="674"/>
        <w:gridCol w:w="223"/>
        <w:gridCol w:w="765"/>
        <w:gridCol w:w="115"/>
        <w:gridCol w:w="115"/>
        <w:gridCol w:w="115"/>
        <w:gridCol w:w="115"/>
        <w:gridCol w:w="223"/>
        <w:gridCol w:w="765"/>
        <w:gridCol w:w="115"/>
        <w:gridCol w:w="109"/>
        <w:gridCol w:w="109"/>
        <w:gridCol w:w="109"/>
        <w:gridCol w:w="330"/>
        <w:gridCol w:w="330"/>
        <w:gridCol w:w="331"/>
        <w:gridCol w:w="109"/>
        <w:gridCol w:w="109"/>
        <w:gridCol w:w="109"/>
        <w:gridCol w:w="109"/>
        <w:gridCol w:w="211"/>
        <w:gridCol w:w="721"/>
        <w:gridCol w:w="109"/>
        <w:gridCol w:w="109"/>
        <w:gridCol w:w="109"/>
        <w:gridCol w:w="109"/>
        <w:gridCol w:w="211"/>
        <w:gridCol w:w="721"/>
        <w:gridCol w:w="109"/>
        <w:gridCol w:w="109"/>
        <w:gridCol w:w="109"/>
        <w:gridCol w:w="109"/>
        <w:gridCol w:w="303"/>
        <w:gridCol w:w="303"/>
        <w:gridCol w:w="437"/>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1"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43" w:type="dxa"/>
            <w:gridSpan w:val="3"/>
            <w:tcBorders/>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18.4%</w:t>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Cost of revenue increased $8.4 million during the three months ended June 30, 2025 compared to the same quarter a year ago. Subscription and support cost of revenue increased $7.3 million due primarily to $3.9 million in higher cash-based compensation and benefits costs, $0.6 million of additional stock-based compensation, a $0.9 million increase in the cost of licensed platform content, a $0.5 million increase in intangibles amortization related to Sustain.Life., a $0.4 million increase in travel expense, and a $0.3 million increase in software expense. The increase in compensation and travel was primarily driven by an increase in employee headcount. The increases in the cost of licensed platform content and software expense resulted primarily from our continued investment in and support of our platform and solutions. Professional services cost of revenue increased $1.0 million due primarily to $0.4 million in higher cash-based compensation and benefits costs and $0.3 million of additional stock-based compensation, driven by standard compensation increases for existing headcount.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Cost of revenue increased $15.2 million during the six months ended June 30, 2025 compared to the same period a year ago. Subscription and support cost of revenue increased $13.5 million due primarily to $8.0 million in higher cash-based compensation and benefits costs, $1.4 million of additional stock-based compensation, a $1.4 million increase in the cost of licensed platform content, a $1.0 million increase in intangibles amortization related to Sustain.Life, and a $0.4 million increase in software expense. The increase in compensation was primarily driven by a modest increase in employee headcount. The increases in the cost of licensed platform content and software expense resulted primarily from our continued investment in and support of our platform and solutions. Professional services cost of revenue increased $1.7 million due primarily to $0.9 million in higher cash-based compensation and benefits costs and $0.6 million of additional stock-based compensation, driven by standard compensation increases for existing headcount.</w:t>
      </w:r>
    </w:p>
    <w:p>
      <w:pPr>
        <w:pStyle w:val="TextBody"/>
        <w:bidi w:val="0"/>
        <w:spacing w:lineRule="auto" w:line="288" w:before="240" w:after="120"/>
        <w:ind w:left="0" w:right="0" w:hanging="180"/>
        <w:jc w:val="both"/>
        <w:rPr>
          <w:rFonts w:ascii="Times New Roman;serif" w:hAnsi="Times New Roman;serif"/>
          <w:b/>
          <w:i/>
          <w:color w:val="000000"/>
          <w:sz w:val="22"/>
        </w:rPr>
      </w:pPr>
      <w:r>
        <w:rPr>
          <w:rFonts w:ascii="Times New Roman;serif" w:hAnsi="Times New Roman;serif"/>
          <w:b/>
          <w:i/>
          <w:color w:val="000000"/>
          <w:sz w:val="22"/>
        </w:rPr>
        <w:t>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73"/>
        <w:gridCol w:w="536"/>
        <w:gridCol w:w="539"/>
        <w:gridCol w:w="211"/>
        <w:gridCol w:w="826"/>
        <w:gridCol w:w="109"/>
        <w:gridCol w:w="109"/>
        <w:gridCol w:w="109"/>
        <w:gridCol w:w="109"/>
        <w:gridCol w:w="211"/>
        <w:gridCol w:w="826"/>
        <w:gridCol w:w="109"/>
        <w:gridCol w:w="109"/>
        <w:gridCol w:w="109"/>
        <w:gridCol w:w="109"/>
        <w:gridCol w:w="330"/>
        <w:gridCol w:w="330"/>
        <w:gridCol w:w="331"/>
        <w:gridCol w:w="109"/>
        <w:gridCol w:w="109"/>
        <w:gridCol w:w="109"/>
        <w:gridCol w:w="109"/>
        <w:gridCol w:w="211"/>
        <w:gridCol w:w="826"/>
        <w:gridCol w:w="109"/>
        <w:gridCol w:w="109"/>
        <w:gridCol w:w="109"/>
        <w:gridCol w:w="109"/>
        <w:gridCol w:w="211"/>
        <w:gridCol w:w="826"/>
        <w:gridCol w:w="109"/>
        <w:gridCol w:w="109"/>
        <w:gridCol w:w="109"/>
        <w:gridCol w:w="109"/>
        <w:gridCol w:w="303"/>
        <w:gridCol w:w="303"/>
        <w:gridCol w:w="432"/>
      </w:tblGrid>
      <w:tr>
        <w:trPr/>
        <w:tc>
          <w:tcPr>
            <w:tcW w:w="77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38" w:type="dxa"/>
            <w:gridSpan w:val="3"/>
            <w:tcBorders/>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22.9%</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18.8%</w:t>
            </w:r>
          </w:p>
        </w:tc>
      </w:tr>
    </w:tbl>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increased $6.4 million during the three months ended June 30, 2025 compared to the same quarter a year ago due primarily to $5.5 million in higher cash-based compensation and benefits, $1.4 million of additional stock-based compensation, and a $0.6 million increase in professional service fees partially offset by a $0.4 million decrease in internal event costs. The increase in compensation was primarily driven by an increase in employee headcount. The increase in professional service fees resulted primarily from our continued investment in and support of our platform and solutions. The decrease in internal event costs relates to our annual research and development event which spanned the first quarter and second quarter of 2025 but was held in the second quarter of 2024.</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increased $14.7 million during the six months ended June 30, 2025 compared to the same period a year ago due primarily to $10.9 million in higher cash-based compensation and benefits, $2.8 million of additional stock-based compensation, and a $1.3 million increase in professional service fees. The increase in compensation was primarily driven by a modest increase in employee headcount. The increase in professional service fees resulted primarily from our continued investment in and support of our platform and solutions.</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Sales and Marketing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increased $19.3 million during the three months ended June 30, 2025 compared to the same quarter a year ago due primarily to $12.4 million in higher cash-based compensation and benefits, $1.4 million of additional stock-based compensation, a $3.7 million increase in marketing and advertising, and a $1.5 million increase in professional service fees. The increases in compensation and marketing and advertising were primarily due to an increase in employee headcount and our continued investment in our go-to-market activities. The increase in professional service fees was the result of our continued investment in and support of our platform and solutions.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increased $38.4 million during the six months ended June 30, 2025 compared to the same period a year ago due primarily to $25.6 million in higher cash-based compensation and benefits, $3.1 million of additional stock-based compensation, a $4.7 million increase in marketing and advertising, a $1.9 million increase in professional service fees, a $1.6 million increase in internal event costs, and a $0.7 million in software expense. The increases in compensation and internal event costs were primarily due to an increase in employee headcount as we continue to invest in our go-to-market activities. The increases in marketing and advertising, professional service fees, and software expense were the result of our continued investment in and support of our platform and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General and Administrative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General and administrative expenses increased $2.5 million during the three months ended June 30, 2025 compared to the same quarter a year ago due primarily to a $1.2 million increase in cash-based compensation and benefits and a $2.6 million increase in internal event costs partially offset by a $0.6 million decrease in stock-based compensation and a $0.3 million decrease in professional service fees.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 and administrative expenses increased $5.5 million during the six months ended June 30, 2025 compared to the same period a year ago due primarily to $2.7 million in higher cash-based compensation and benefits, $0.2 million of additional stock-based compensation, and a $2.6 million increase in internal event costs. The increase in compensation for the three and six month periods was primarily due to a modest increase in employee headcount. The increase in internal event costs for the three and six month periods was due to a new internal event held in the second quarter.</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Non-Operating Income (Expenses)</w:t>
      </w:r>
    </w:p>
    <w:tbl>
      <w:tblPr>
        <w:tblW w:w="10205" w:type="dxa"/>
        <w:jc w:val="left"/>
        <w:tblInd w:w="0" w:type="dxa"/>
        <w:tblLayout w:type="fixed"/>
        <w:tblCellMar>
          <w:top w:w="28" w:type="dxa"/>
          <w:left w:w="28" w:type="dxa"/>
          <w:bottom w:w="28" w:type="dxa"/>
          <w:right w:w="28" w:type="dxa"/>
        </w:tblCellMar>
      </w:tblPr>
      <w:tblGrid>
        <w:gridCol w:w="799"/>
        <w:gridCol w:w="676"/>
        <w:gridCol w:w="682"/>
        <w:gridCol w:w="230"/>
        <w:gridCol w:w="675"/>
        <w:gridCol w:w="119"/>
        <w:gridCol w:w="119"/>
        <w:gridCol w:w="119"/>
        <w:gridCol w:w="119"/>
        <w:gridCol w:w="230"/>
        <w:gridCol w:w="789"/>
        <w:gridCol w:w="119"/>
        <w:gridCol w:w="109"/>
        <w:gridCol w:w="109"/>
        <w:gridCol w:w="109"/>
        <w:gridCol w:w="330"/>
        <w:gridCol w:w="330"/>
        <w:gridCol w:w="331"/>
        <w:gridCol w:w="109"/>
        <w:gridCol w:w="109"/>
        <w:gridCol w:w="109"/>
        <w:gridCol w:w="109"/>
        <w:gridCol w:w="211"/>
        <w:gridCol w:w="721"/>
        <w:gridCol w:w="109"/>
        <w:gridCol w:w="109"/>
        <w:gridCol w:w="109"/>
        <w:gridCol w:w="109"/>
        <w:gridCol w:w="211"/>
        <w:gridCol w:w="721"/>
        <w:gridCol w:w="109"/>
        <w:gridCol w:w="109"/>
        <w:gridCol w:w="109"/>
        <w:gridCol w:w="109"/>
        <w:gridCol w:w="303"/>
        <w:gridCol w:w="303"/>
        <w:gridCol w:w="433"/>
      </w:tblGrid>
      <w:tr>
        <w:trPr/>
        <w:tc>
          <w:tcPr>
            <w:tcW w:w="79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9"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39" w:type="dxa"/>
            <w:gridSpan w:val="3"/>
            <w:tcBorders/>
          </w:tcPr>
          <w:p>
            <w:pPr>
              <w:pStyle w:val="TableContents"/>
              <w:bidi w:val="0"/>
              <w:spacing w:before="0" w:after="283"/>
              <w:jc w:val="left"/>
              <w:rPr>
                <w:sz w:val="4"/>
                <w:szCs w:val="4"/>
              </w:rPr>
            </w:pPr>
            <w:r>
              <w:rPr>
                <w:sz w:val="4"/>
                <w:szCs w:val="4"/>
              </w:rPr>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w:t>
            </w:r>
          </w:p>
        </w:tc>
      </w:tr>
      <w:tr>
        <w:trPr/>
        <w:tc>
          <w:tcPr>
            <w:tcW w:w="2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Percentage is not meaningful.</w:t>
      </w:r>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Interest Income, Interest Expense, and Other (Expense) Income, Net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2025, interest income decreased $2.0 million compared to the same quarter a year ago due primarily to a decrease in our investment balance, coupled with lower interest rates. Interest expense remained relatively flat compared to the same quarter a year ago. Other expense, net increased $0.7 million compared to the same quarter a year ago due primarily to losses on foreign currency transactions.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2025, interest income decreased $3.7 million compared to the same period a year ago due primarily to a decrease in our investment balance, coupled with lower interest rates. Interest expense remained relatively flat compared to the same period a year ago. Other expense, net increased $1.0 million compared to the same period a year ago due primarily to losses on foreign currency transactions.</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Results of Operations for Fiscal 2024 Compared to 2023</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a comparison of our results of operations for the fiscal years ended December 31, 2024 and 2023, see "Part II, Item 7. Management's Discussion and Analysis of Financial Condition and Results of Operations" of our Annual Report on Form 10-K for the fiscal year ended December 31, 2024, filed with the SEC on February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Overview of Sources and Uses of Cash</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2025, our principal sources of liquidity were cash, cash equivalents and marketable securities totaling $813.7 million, which were held for working capital purposes. We have financed our operations primarily through cash generated from operations and issuances of convertible debt. We have generated significant operating losses as reflected in our accumulated deficit on our consolidated balance sheets. While we expect to continue to incur operating losses and may incur negative cash flows from operations in the future, we believe that current cash and cash equivalents and cash flows from operating activities will be sufficient to fund our operations for at least the next twelve months.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Convertible Debt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2023, we issued $702.0 million aggregate principal amount of our 1.250% 2028 Notes. Proceeds from the issuance of the 2028 Notes totaled $691.1 million, net of initial purchaser discounts and issuance costs. We used $396.9 million of the net proceeds from the 2028 Notes offering to repurchase $273.8 million principal amount, together with accrued and unpaid interest thereon, of our 1.125% 2026 Notes in separate and individually negotiated transactions with certain holders. As of June 30, 2025, we had outstanding debt relating to our 2026 Notes and 2028 Notes of $70.9 million and $695.2 million, with corresponding maturity dates of August 15, 2026 and August 15, 2028, respectively.</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Share Repurchase Plan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30, 2024, our board of directors authorized a share repurchase plan for up to $100.0 million of our outstanding Class A common stock (the “2024 Repurchase Plan”). The repurchases may be made in the open market or through privately negotiated transactions, pursuant to Rule 10b5-1 trading plans or other available means, each in compliance with Rule 10b-18 under the Exchange Act. The timing, manner, price, and amount of the repurchase will be subject to the discretion of the Company’s management, and it may be suspended or discontinued at any time. As of June 30, 2025, we have repurchased $50.1 million of our Class A common stock under the 2024 Repurchase Plan.</w:t>
      </w:r>
    </w:p>
    <w:p>
      <w:pPr>
        <w:pStyle w:val="TextBody"/>
        <w:bidi w:val="0"/>
        <w:spacing w:lineRule="auto" w:line="268" w:before="240" w:after="120"/>
        <w:jc w:val="both"/>
        <w:rPr>
          <w:rFonts w:ascii="Times New Roman;serif" w:hAnsi="Times New Roman;serif"/>
          <w:b/>
          <w:i/>
          <w:color w:val="000000"/>
          <w:sz w:val="22"/>
        </w:rPr>
      </w:pPr>
      <w:r>
        <w:rPr>
          <w:rFonts w:ascii="Times New Roman;serif" w:hAnsi="Times New Roman;serif"/>
          <w:b/>
          <w:i/>
          <w:color w:val="000000"/>
          <w:sz w:val="22"/>
        </w:rPr>
        <w:t>Cash Flows</w:t>
      </w:r>
    </w:p>
    <w:tbl>
      <w:tblPr>
        <w:tblW w:w="10205" w:type="dxa"/>
        <w:jc w:val="left"/>
        <w:tblInd w:w="0" w:type="dxa"/>
        <w:tblLayout w:type="fixed"/>
        <w:tblCellMar>
          <w:top w:w="28" w:type="dxa"/>
          <w:left w:w="28" w:type="dxa"/>
          <w:bottom w:w="28" w:type="dxa"/>
          <w:right w:w="28" w:type="dxa"/>
        </w:tblCellMar>
      </w:tblPr>
      <w:tblGrid>
        <w:gridCol w:w="1838"/>
        <w:gridCol w:w="1516"/>
        <w:gridCol w:w="1527"/>
        <w:gridCol w:w="214"/>
        <w:gridCol w:w="733"/>
        <w:gridCol w:w="110"/>
        <w:gridCol w:w="110"/>
        <w:gridCol w:w="110"/>
        <w:gridCol w:w="110"/>
        <w:gridCol w:w="214"/>
        <w:gridCol w:w="781"/>
        <w:gridCol w:w="110"/>
        <w:gridCol w:w="109"/>
        <w:gridCol w:w="109"/>
        <w:gridCol w:w="109"/>
        <w:gridCol w:w="211"/>
        <w:gridCol w:w="767"/>
        <w:gridCol w:w="109"/>
        <w:gridCol w:w="109"/>
        <w:gridCol w:w="109"/>
        <w:gridCol w:w="109"/>
        <w:gridCol w:w="211"/>
        <w:gridCol w:w="721"/>
        <w:gridCol w:w="159"/>
      </w:tblGrid>
      <w:tr>
        <w:trPr/>
        <w:tc>
          <w:tcPr>
            <w:tcW w:w="183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provided by (used in) operating activities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used in investing activities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used in financing activities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 net of impact of exchange rates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largest source of operating cash is cash collections from customers for subscription and support access to our platform. Our primary uses of cash from operating activities are for personnel-related expenditures, marketing activities, and costs of cloud infrastructure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color w:val="000000"/>
          <w:sz w:val="22"/>
        </w:rPr>
        <w:t>Cash provided by operating activities of $50.3 million</w:t>
      </w:r>
      <w:r>
        <w:rPr>
          <w:color w:val="000000"/>
        </w:rPr>
        <w:t xml:space="preserve"> </w:t>
      </w:r>
      <w:r>
        <w:rPr>
          <w:rFonts w:ascii="Times New Roman;serif" w:hAnsi="Times New Roman;serif"/>
          <w:b w:val="false"/>
          <w:color w:val="000000"/>
          <w:sz w:val="22"/>
        </w:rPr>
        <w:t>for the three months ended June 30, 2025 consisted of a net loss of $19.4 million adjusted for non-cash charges of $30.3 million and net cash inflows of $39.4 million from changes in operating assets and liabilities. The change in operating assets and liabilities was driven by an increase in accrued expenses and other liabilities which was due in part to timing of accruals and payments. The increase in deferred revenue was driven by an increase in amounts invoiced during the period. The decreases in accounts payable, other assets, and prepaid expenses as well as the increase in accounts receivable were attributable primarily to the timing of cash payments and collections.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operating activities was flat for the three months ended June 30, 2024 and consisted of a net loss of $17.5 million adjusted for non-cash charges of $25.4 million and net cash outflows of $7.9 million from changes in operating assets and liabilities. Net cash used in operating activities was primarily due to an increase in accounts receivable driven by an increase in large contracts that were signed toward the end of the period and timing of collections from customers. The increase in large contracts also drove an increase in deferred costs, partially offset by the related increase in deferred revenue. The decreases in accounts payable, prepaid expenses, and other receivables as well as the increases in accrued expenses and other liabilities were attributable primarily to the timing of cash payments and collections.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operating activities of $43.0 million for the six months ended June 30, 2025 consisted of a net loss of $40.8 million adjusted for non-cash charges of $59.9 million and net cash inflows of $23.8 million from changes in operating assets and liabilities. The change in operating assets and liabilities was primarily driven by a decrease in accounts receivable due to timing of billings and collections. The decrease in accrued expenses and other liabilities was due in part to timing of accruals and payments. Deferred revenue decreased due in part by the timing of bookings and billings in the current period. The decrease in deferred costs was primarily due to amortization of incremental costs associated with obtaining customer contracts. The increases in accounts payable and prepaid expenses as well as the decreases in other receivables and other assets were attributable primarily to the timing of our billings, cash collections, and cash payments.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Cash provided by operating activities of $24.8 million for the six months ended June 30, 2024 consisted of a net loss of $29.2 million adjusted for non-cash charges of $47.4 million and net cash inflows of $6.7 million from changes in operating assets and liabilities. The change in operating assets and liabilities was driven by a decrease in deferred revenue which was due in part to a reduction of multi-year prepaid customer contracts and timing of contract negotiations. The increase in deferred costs was primarily due to growth in subscription bookings. The increases in other assets, accounts payable, and accrued expenses and other liabilities as well as the decreases in accounts receivable, prepaid expenses, and other receivables were attributable primarily to the timing of our billings, cash collections, and cash payments. </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Investing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$4.3 million for the three months ended June 30, 2025 consisted of $103.0 million in purchases of marketable securities and $1.0 million in purchases of fixed assets partially offset by $99.7 million from the maturities of marketable securities. Our capital expenditures were associated primarily with computer equipment in support of our work force.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$26.3 million for the three months ended June 30, 2024 consisted of $98.3 million for the acquisition of Sustain.Life and $35.0 million in purchases of marketable securities partially offset by $107.1 million from the maturities of 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color w:val="000000"/>
          <w:sz w:val="22"/>
        </w:rPr>
        <w:t>Cash used in investing activities of $13.4 million for the six months ended June 30, 2025 consisted of $206.0 million in purchases of marketable securities and $1.8 million</w:t>
      </w:r>
      <w:r>
        <w:rPr>
          <w:color w:val="000000"/>
        </w:rPr>
        <w:t xml:space="preserve"> </w:t>
      </w:r>
      <w:r>
        <w:rPr>
          <w:rFonts w:ascii="Times New Roman;serif" w:hAnsi="Times New Roman;serif"/>
          <w:b w:val="false"/>
          <w:color w:val="000000"/>
          <w:sz w:val="22"/>
        </w:rPr>
        <w:t>in purchases of fixed assets partially offset by $194.4 million from the maturities of marketable securities. Our capital expenditures were associated primarily with computer equipment in support of our work force.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$8.9 million for the six months ended June 30, 2024 consisted of $98.3 million for the acquisition of Sustain.Life and $151.6 million in purchases of marketable securities partially offset by $236.7 million from the maturities of marketable securities and $4.6 million from the sale of marketable securities.</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Financing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$8.9 million for the three months ended June 30, 2025 consisted of $10.0 million in repurchases of our Class A common stock under the 2024 Repurchase Plan and $0.6 million in taxes paid related to net share settlements of stock-based compensation awards partially offset by $1.8 million in proceeds from option exercises.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$1.5 million for the three months ended June 30, 2024 consisted of $1.6 million in taxes paid related to net share settlements of stock-based compensation awards partially offset by $0.3 million in proceeds from option exercises.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$53.9 million for the six months ended June 30, 2025 consisted of $50.1 million in repurchases of our Class A common stock under the 2024 Repurchase Plan and $13.5 million in taxes paid related to net share settlements of stock-based compensation awards partially offset by $7.5 million in proceeds from shares issued in connection with our ESPP and $2.4 million in proceeds from option exercises.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used in financing activities of $2.8 million</w:t>
      </w:r>
      <w:r>
        <w:rPr>
          <w:color w:val="000000"/>
        </w:rPr>
        <w:t xml:space="preserve"> </w:t>
      </w:r>
      <w:r>
        <w:rPr>
          <w:rFonts w:ascii="Times New Roman;serif" w:hAnsi="Times New Roman;serif"/>
          <w:b w:val="false"/>
          <w:color w:val="000000"/>
          <w:sz w:val="22"/>
        </w:rPr>
        <w:t>for the six months ended June 30, 2024 consisted of $10.3 million in taxes paid related to net share settlements of stock-based compensation awards partially offset by $7.1 million in proceeds from shares issued in connection with our ESPP and $0.6 million in proceeds from option exercises.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Contractual Obligations and Commitments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There were no material changes in our contractual obligations and commitments from those disclosed in the Annual Report on Form 10-K for the year ended December 31, 2024 filed with the SEC on February 25,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income taxes and related disclosures. On an ongoing basis, we evaluate our estimates and assumptions. Our actual results may differ from these estimates under different assumptions or conditions.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2025, there were no significant changes to our critical accounting policies and estimates as described in the financial statements contained in the Annual Report on Form 10-K for the year ended December 31, 2024 filed with the SEC on February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quantitative and qualitative disclosures about market risk, see “Item 7A., Quantitative and Qualitative Disclosures About Market Risk” of our Annual Report on Form 10-K for the year ended December 31, 2024. Our exposures to market risk have not changed materially since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management, with the participation of our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on Form 10-Q.</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such evaluation, our principal executive officer and principal financial officer have concluded that as of such date, our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disclosures.</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were no changes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Limitations on the Effectiveness of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We are not presently a party to any legal proceedings that in the opinion of our management, if determined adversely to us, would have a material adverse effect on our business, financial condition, operating results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the other information set forth in this report, you should carefully consider the factors discussed in Part I, “Item 1A. Risk Factors” in our 2024 Annual Report on Form 10-K, which could materially affect our business, financial condition or future results. There have been no material changes during fiscal year 2025 to the risk factors that were included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    Unregistered Sales of Securities and Use of Proceeds</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Sales of Unregistered Securities</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Issuer Purchases of Equity Securities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30, 2024, our board of directors authorized a share repurchase plan for up to $100.0 million of our outstanding Class A common stock.</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share repurchase activity for the three months ended June 30, 2025 (in thousands, except share and per share data):</w:t>
      </w:r>
    </w:p>
    <w:tbl>
      <w:tblPr>
        <w:tblW w:w="10205" w:type="dxa"/>
        <w:jc w:val="left"/>
        <w:tblInd w:w="0" w:type="dxa"/>
        <w:tblLayout w:type="fixed"/>
        <w:tblCellMar>
          <w:top w:w="28" w:type="dxa"/>
          <w:left w:w="28" w:type="dxa"/>
          <w:bottom w:w="28" w:type="dxa"/>
          <w:right w:w="28" w:type="dxa"/>
        </w:tblCellMar>
      </w:tblPr>
      <w:tblGrid>
        <w:gridCol w:w="544"/>
        <w:gridCol w:w="455"/>
        <w:gridCol w:w="458"/>
        <w:gridCol w:w="520"/>
        <w:gridCol w:w="416"/>
        <w:gridCol w:w="418"/>
        <w:gridCol w:w="109"/>
        <w:gridCol w:w="109"/>
        <w:gridCol w:w="109"/>
        <w:gridCol w:w="251"/>
        <w:gridCol w:w="735"/>
        <w:gridCol w:w="130"/>
        <w:gridCol w:w="109"/>
        <w:gridCol w:w="109"/>
        <w:gridCol w:w="109"/>
        <w:gridCol w:w="543"/>
        <w:gridCol w:w="462"/>
        <w:gridCol w:w="463"/>
        <w:gridCol w:w="109"/>
        <w:gridCol w:w="109"/>
        <w:gridCol w:w="109"/>
        <w:gridCol w:w="740"/>
        <w:gridCol w:w="2538"/>
        <w:gridCol w:w="551"/>
      </w:tblGrid>
      <w:tr>
        <w:trPr/>
        <w:tc>
          <w:tcPr>
            <w:tcW w:w="54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Price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 per Share</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Shares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 as Part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Publicly Announced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that May Yet Be Purchased Under the Plans or Programs</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April 1, 2025 to April 30, 2025</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131,810 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131,810 </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 2025 to May 31, 2025</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1, 2025 to June 30, 2025</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131,810</w:t>
            </w:r>
            <w:r>
              <w:rPr>
                <w:color w:val="000000"/>
              </w:rPr>
              <w:t> </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131,810</w:t>
            </w:r>
            <w:r>
              <w:rPr>
                <w:color w:val="000000"/>
              </w:rPr>
              <w:t> </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Director and Officer Trading Arrangements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May 8, 2025, The Robert H. Herz Irrevocable Trust, a trust of which the trustee is the spouse of Robert H. Herz, a member of our board of directors, adopted a Rule 10b5-1 trading arrangement that is intended to satisfy the affirmative defense of Rule 10b5-1(c). The Rule 10b5-1 trading arrangement provides for the sale of up to 5,000 shares of the Company's Class A common stock, until February 16,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2026 or earlier if all transactions under the trading arrangement are completed. The first transaction under the Rule 10b5-1 Plan may not occur until August 7, 2025.</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2025, no director or officer of the Company, other than what has been set forth immediately above, adopted, modified or terminated a “Rule 10b5-1 trading arrangement” or “non-Rule 10b5-1 trading arrangement,” as each term is defined in Item 408(a) of Regulation S-K.</w:t>
      </w:r>
    </w:p>
    <w:p>
      <w:pPr>
        <w:pStyle w:val="TextBody"/>
        <w:bidi w:val="0"/>
        <w:spacing w:lineRule="auto" w:line="288" w:before="0" w:after="0"/>
        <w:jc w:val="both"/>
        <w:rPr>
          <w:rFonts w:ascii="Times New Roman;serif" w:hAnsi="Times New Roman;serif"/>
          <w:b/>
          <w:color w:val="000000"/>
          <w:sz w:val="22"/>
          <w:shd w:fill="FFFFFF" w:val="clear"/>
        </w:rPr>
      </w:pPr>
      <w:r>
        <w:rPr>
          <w:rFonts w:ascii="Times New Roman;serif" w:hAnsi="Times New Roman;serif"/>
          <w:b/>
          <w:color w:val="000000"/>
          <w:sz w:val="22"/>
          <w:shd w:fill="FFFFFF" w:val="clear"/>
        </w:rPr>
        <w:t>Departure of Chief Financial Officer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31, 2025, the Company announced that Jill E. Klindt, Executive Vice President, Chief Financial Officer ("CFO") and Treasurer of Workiva, will be stepping down in 2025 after a transition period.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Ms. Klindt is expected to remain as the CFO and Treasurer of Workiva until a successor is appointed, at which time she is expected to remain in an advisory capacity through mid-December, 2025 to provide for a smooth transition. The Company has initiated a comprehensive search process to identify a successor.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connection with her separation, the Company expects to enter into a severance and transition agreement with Ms. Klindt, the terms of which have not yet been finalized and which will be included in a subsequent Current Report on Form 8-K.</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terms of Ms. Klindt's employment agreement, entered into on February 19, 2024, by and between Ms. Klindt and the Company, her departure will be deemed a termination without Cause (as such term is defined in her employment agreement). Ms. Klindt's departure was not the result of any disagreement with the Company or its management on any matter relating to the Company’s operations, policies or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lineRule="auto" w:line="276"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exhibits are being filed herewith or incorporated by reference herein:</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49"/>
        <w:gridCol w:w="2603"/>
        <w:gridCol w:w="371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Certificate of Incorporation of Workiva Inc.</w:t>
              </w:r>
            </w:hyperlink>
            <w:r>
              <w:rPr>
                <w:rFonts w:ascii="Times New Roman;serif" w:hAnsi="Times New Roman;serif"/>
                <w:b w:val="false"/>
                <w:color w:val="000000"/>
                <w:sz w:val="20"/>
              </w:rPr>
              <w:t>, incorporated by reference from Exhibit 3.1(a) to the Company’s Current Report on Form 8-K filed on June 2, 2025.</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Form of Restricted Stock Unit Agreement (Non-Employee Directors)</w:t>
              </w:r>
            </w:hyperlink>
            <w:r>
              <w:rPr>
                <w:rFonts w:ascii="Times New Roman;serif" w:hAnsi="Times New Roman;serif"/>
                <w:b w:val="false"/>
                <w:color w:val="000000"/>
                <w:sz w:val="20"/>
              </w:rPr>
              <w:t>, incorporated by reference from Exhibit 10.1 to the Company’s Current Report on Form 8-K filed on June 2, 2025.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section302xceoc.htm">
              <w:r>
                <w:rPr>
                  <w:rStyle w:val="InternetLink"/>
                  <w:rFonts w:ascii="Times New Roman;serif" w:hAnsi="Times New Roman;serif"/>
                  <w:b w:val="false"/>
                  <w:color w:val="0000FF"/>
                  <w:sz w:val="20"/>
                  <w:u w:val="single"/>
                </w:rPr>
                <w:t>Certification of the Chief Executive Officer, pursuant to Rule 13a-14(a)/15d-14(a),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section302xcfoc.htm">
              <w:r>
                <w:rPr>
                  <w:rStyle w:val="InternetLink"/>
                  <w:rFonts w:ascii="Times New Roman;serif" w:hAnsi="Times New Roman;serif"/>
                  <w:b w:val="false"/>
                  <w:color w:val="0000FF"/>
                  <w:sz w:val="20"/>
                  <w:u w:val="single"/>
                </w:rPr>
                <w:t>Certification of the Chief Financial Officer, pursuant to Rule 13a-14(a)/15d-14(a),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section906xceoc.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section906xcfoc.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Workiva Inc.'s Quarterly Report on Form 10-Q for the quarter ended June 30, 2025 formatted in Inline XBRL (Extensible Business Reporting Language) includes: (i) the Consolidated Balance Sheets, (ii) the Consolidated Statements of Operations, (iii) the Consolidated Statements of Comprehensive Loss, (iv) the Consolidated Statements of Changes in Stockholders Deficit, (v) the Consolidated Statements of Cash Flows, and (vi) Notes to the Consolidated Financial Statements.</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11cedb8b51248a29fd000502d94649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 xml:space="preserve">SIGNATURES </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Section 13 or 15(d) of the Securities Exchange Act of 1934, the Registrant has duly caused this report to be signed on its behalf by the undersigned, thereunto duly authorized on this 31st day of July, 2025.</w:t>
      </w:r>
    </w:p>
    <w:tbl>
      <w:tblPr>
        <w:tblW w:w="6174" w:type="dxa"/>
        <w:jc w:val="right"/>
        <w:tblInd w:w="0" w:type="dxa"/>
        <w:tblLayout w:type="fixed"/>
        <w:tblCellMar>
          <w:top w:w="28" w:type="dxa"/>
          <w:left w:w="28" w:type="dxa"/>
          <w:bottom w:w="28" w:type="dxa"/>
          <w:right w:w="28" w:type="dxa"/>
        </w:tblCellMar>
      </w:tblPr>
      <w:tblGrid>
        <w:gridCol w:w="325"/>
        <w:gridCol w:w="285"/>
        <w:gridCol w:w="285"/>
        <w:gridCol w:w="1534"/>
        <w:gridCol w:w="1534"/>
        <w:gridCol w:w="2211"/>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617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WORKIVA INC.</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Julie Iskow</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Iskow</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Jill Klindt</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Jill Klindt</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Julie Iskow, certify that: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Workiva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4810" w:type="dxa"/>
        <w:jc w:val="right"/>
        <w:tblInd w:w="0" w:type="dxa"/>
        <w:tblLayout w:type="fixed"/>
        <w:tblCellMar>
          <w:top w:w="28" w:type="dxa"/>
          <w:left w:w="28" w:type="dxa"/>
          <w:bottom w:w="28" w:type="dxa"/>
          <w:right w:w="28" w:type="dxa"/>
        </w:tblCellMar>
      </w:tblPr>
      <w:tblGrid>
        <w:gridCol w:w="443"/>
        <w:gridCol w:w="390"/>
        <w:gridCol w:w="396"/>
        <w:gridCol w:w="109"/>
        <w:gridCol w:w="109"/>
        <w:gridCol w:w="109"/>
        <w:gridCol w:w="950"/>
        <w:gridCol w:w="950"/>
        <w:gridCol w:w="135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Jill Klindt, certify that: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Workiva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before="0" w:after="0"/>
        <w:jc w:val="left"/>
        <w:rPr/>
      </w:pPr>
      <w:r>
        <w:rPr/>
      </w:r>
    </w:p>
    <w:tbl>
      <w:tblPr>
        <w:tblW w:w="6881" w:type="dxa"/>
        <w:jc w:val="center"/>
        <w:tblInd w:w="0" w:type="dxa"/>
        <w:tblLayout w:type="fixed"/>
        <w:tblCellMar>
          <w:top w:w="28" w:type="dxa"/>
          <w:left w:w="28" w:type="dxa"/>
          <w:bottom w:w="28" w:type="dxa"/>
          <w:right w:w="28" w:type="dxa"/>
        </w:tblCellMar>
      </w:tblPr>
      <w:tblGrid>
        <w:gridCol w:w="443"/>
        <w:gridCol w:w="390"/>
        <w:gridCol w:w="396"/>
        <w:gridCol w:w="109"/>
        <w:gridCol w:w="109"/>
        <w:gridCol w:w="109"/>
        <w:gridCol w:w="1555"/>
        <w:gridCol w:w="1555"/>
        <w:gridCol w:w="221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Jill Klindt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Jill Klindt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Financial Officer and Treasurer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100" w:after="100"/>
        <w:jc w:val="center"/>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Julie Iskow, President and Chief Executive Officer of Workiva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345"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2025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4810" w:type="dxa"/>
        <w:jc w:val="left"/>
        <w:tblInd w:w="0" w:type="dxa"/>
        <w:tblLayout w:type="fixed"/>
        <w:tblCellMar>
          <w:top w:w="28" w:type="dxa"/>
          <w:left w:w="28" w:type="dxa"/>
          <w:bottom w:w="28" w:type="dxa"/>
          <w:right w:w="28" w:type="dxa"/>
        </w:tblCellMar>
      </w:tblPr>
      <w:tblGrid>
        <w:gridCol w:w="443"/>
        <w:gridCol w:w="390"/>
        <w:gridCol w:w="396"/>
        <w:gridCol w:w="109"/>
        <w:gridCol w:w="109"/>
        <w:gridCol w:w="109"/>
        <w:gridCol w:w="950"/>
        <w:gridCol w:w="950"/>
        <w:gridCol w:w="1354"/>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100" w:after="100"/>
        <w:jc w:val="center"/>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Jill Klindt, Executive Vice President, Chief Financial Officer, and Treasurer of Workiva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345"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2025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6881" w:type="dxa"/>
        <w:jc w:val="center"/>
        <w:tblInd w:w="0" w:type="dxa"/>
        <w:tblLayout w:type="fixed"/>
        <w:tblCellMar>
          <w:top w:w="28" w:type="dxa"/>
          <w:left w:w="28" w:type="dxa"/>
          <w:bottom w:w="28" w:type="dxa"/>
          <w:right w:w="28" w:type="dxa"/>
        </w:tblCellMar>
      </w:tblPr>
      <w:tblGrid>
        <w:gridCol w:w="443"/>
        <w:gridCol w:w="390"/>
        <w:gridCol w:w="396"/>
        <w:gridCol w:w="109"/>
        <w:gridCol w:w="109"/>
        <w:gridCol w:w="109"/>
        <w:gridCol w:w="1555"/>
        <w:gridCol w:w="1555"/>
        <w:gridCol w:w="2215"/>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Jill Klindt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Jill Klindt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5305/000144530525000099/clean-workivaamendedandres.htm" TargetMode="External"/><Relationship Id="rId3" Type="http://schemas.openxmlformats.org/officeDocument/2006/relationships/hyperlink" Target="https://www.sec.gov/Archives/edgar/data/1445305/000144530525000099/a101formofrestrictedstocku.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16617</Words>
  <Characters>91867</Characters>
  <CharactersWithSpaces>107118</CharactersWithSpaces>
  <Paragraphs>2642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